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DF9" w:rsidRDefault="00934F9B">
      <w:pPr>
        <w:pStyle w:val="BodyText"/>
        <w:ind w:left="3983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828139" cy="81915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139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DF9" w:rsidRDefault="00934F9B">
      <w:pPr>
        <w:spacing w:before="275"/>
        <w:ind w:left="2" w:right="3"/>
        <w:jc w:val="center"/>
        <w:rPr>
          <w:b/>
          <w:sz w:val="24"/>
        </w:rPr>
      </w:pPr>
      <w:r>
        <w:rPr>
          <w:b/>
          <w:sz w:val="24"/>
        </w:rPr>
        <w:t>OVERVIEW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FUNDS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FINANCIAL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OPERATIONAL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PERFORMANCE FOR THE 12 MONTHS PERIOD</w:t>
      </w:r>
    </w:p>
    <w:p w:rsidR="00F03DF9" w:rsidRDefault="00934F9B">
      <w:pPr>
        <w:ind w:left="1627" w:right="1628"/>
        <w:jc w:val="center"/>
        <w:rPr>
          <w:b/>
          <w:sz w:val="24"/>
        </w:rPr>
      </w:pPr>
      <w:r>
        <w:rPr>
          <w:b/>
          <w:sz w:val="24"/>
        </w:rPr>
        <w:t>ENDING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JUNE </w:t>
      </w:r>
      <w:r>
        <w:rPr>
          <w:b/>
          <w:spacing w:val="-2"/>
          <w:sz w:val="24"/>
        </w:rPr>
        <w:t>202</w:t>
      </w:r>
      <w:r w:rsidR="000B4990">
        <w:rPr>
          <w:b/>
          <w:spacing w:val="-2"/>
          <w:sz w:val="24"/>
        </w:rPr>
        <w:t>4</w:t>
      </w:r>
      <w:r>
        <w:rPr>
          <w:b/>
          <w:spacing w:val="-2"/>
          <w:sz w:val="24"/>
        </w:rPr>
        <w:t>:</w:t>
      </w:r>
    </w:p>
    <w:p w:rsidR="00F03DF9" w:rsidRDefault="00934F9B">
      <w:pPr>
        <w:ind w:left="1626" w:right="1628"/>
        <w:jc w:val="center"/>
        <w:rPr>
          <w:b/>
          <w:sz w:val="24"/>
        </w:rPr>
      </w:pPr>
      <w:r>
        <w:rPr>
          <w:b/>
          <w:sz w:val="24"/>
        </w:rPr>
        <w:t>BY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SINPF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CEO/GENERAL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MANAGER,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MIKE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WATE: 30 SEPTEMBER 202</w:t>
      </w:r>
      <w:r w:rsidR="000B4990">
        <w:rPr>
          <w:b/>
          <w:sz w:val="24"/>
        </w:rPr>
        <w:t>4</w:t>
      </w:r>
    </w:p>
    <w:p w:rsidR="00F03DF9" w:rsidRDefault="00934F9B">
      <w:pPr>
        <w:ind w:left="2932" w:right="2893" w:firstLine="1171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12 NOON HERITAGE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PARK</w:t>
      </w:r>
      <w:r>
        <w:rPr>
          <w:b/>
          <w:spacing w:val="-11"/>
          <w:sz w:val="24"/>
        </w:rPr>
        <w:t xml:space="preserve"> </w:t>
      </w:r>
      <w:proofErr w:type="gramStart"/>
      <w:r>
        <w:rPr>
          <w:b/>
          <w:sz w:val="24"/>
        </w:rPr>
        <w:t>HOTEL</w:t>
      </w:r>
      <w:proofErr w:type="gramEnd"/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LTD</w:t>
      </w:r>
    </w:p>
    <w:p w:rsidR="00F03DF9" w:rsidRDefault="00F03DF9">
      <w:pPr>
        <w:pStyle w:val="BodyText"/>
        <w:spacing w:before="24"/>
        <w:ind w:left="0"/>
        <w:jc w:val="left"/>
        <w:rPr>
          <w:b/>
        </w:rPr>
      </w:pPr>
    </w:p>
    <w:p w:rsidR="00F03DF9" w:rsidRDefault="00934F9B">
      <w:pPr>
        <w:ind w:left="120"/>
        <w:rPr>
          <w:b/>
          <w:i/>
          <w:sz w:val="24"/>
        </w:rPr>
      </w:pPr>
      <w:r>
        <w:rPr>
          <w:b/>
          <w:i/>
          <w:spacing w:val="-2"/>
          <w:sz w:val="24"/>
        </w:rPr>
        <w:t>Salutations</w:t>
      </w:r>
    </w:p>
    <w:p w:rsidR="00F03DF9" w:rsidRDefault="00F03DF9">
      <w:pPr>
        <w:pStyle w:val="BodyText"/>
        <w:ind w:left="0"/>
        <w:jc w:val="left"/>
        <w:rPr>
          <w:b/>
          <w:i/>
        </w:rPr>
      </w:pPr>
    </w:p>
    <w:p w:rsidR="00F03DF9" w:rsidRDefault="00934F9B" w:rsidP="000B4990">
      <w:pPr>
        <w:pStyle w:val="BodyText"/>
        <w:spacing w:line="360" w:lineRule="auto"/>
        <w:ind w:left="119"/>
        <w:jc w:val="left"/>
        <w:rPr>
          <w:spacing w:val="-2"/>
        </w:rPr>
      </w:pPr>
      <w:r>
        <w:t>The</w:t>
      </w:r>
      <w:r>
        <w:rPr>
          <w:spacing w:val="-3"/>
        </w:rPr>
        <w:t xml:space="preserve"> </w:t>
      </w:r>
      <w:r w:rsidR="00694AFA">
        <w:rPr>
          <w:spacing w:val="-3"/>
        </w:rPr>
        <w:t xml:space="preserve">Supervising Prime Minister and </w:t>
      </w:r>
      <w:r>
        <w:t>Minister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Finance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Treasury,</w:t>
      </w:r>
      <w:r>
        <w:rPr>
          <w:spacing w:val="-2"/>
        </w:rPr>
        <w:t xml:space="preserve"> </w:t>
      </w:r>
      <w:r>
        <w:t>Hon</w:t>
      </w:r>
      <w:r w:rsidR="000B4990">
        <w:rPr>
          <w:spacing w:val="-2"/>
        </w:rPr>
        <w:t xml:space="preserve"> Manasseh Damukana Sogavare </w:t>
      </w:r>
    </w:p>
    <w:p w:rsidR="000B4990" w:rsidRDefault="000B4990" w:rsidP="000B4990">
      <w:pPr>
        <w:pStyle w:val="BodyText"/>
        <w:spacing w:line="360" w:lineRule="auto"/>
        <w:ind w:left="119"/>
        <w:jc w:val="left"/>
      </w:pPr>
      <w:r>
        <w:t>The</w:t>
      </w:r>
      <w:r>
        <w:rPr>
          <w:spacing w:val="69"/>
        </w:rPr>
        <w:t xml:space="preserve"> </w:t>
      </w:r>
      <w:r>
        <w:t>Permanent</w:t>
      </w:r>
      <w:r>
        <w:rPr>
          <w:spacing w:val="69"/>
        </w:rPr>
        <w:t xml:space="preserve"> </w:t>
      </w:r>
      <w:r>
        <w:t>Secretary</w:t>
      </w:r>
      <w:r>
        <w:rPr>
          <w:spacing w:val="40"/>
        </w:rPr>
        <w:t xml:space="preserve"> </w:t>
      </w:r>
      <w:r>
        <w:t>of</w:t>
      </w:r>
      <w:r>
        <w:rPr>
          <w:spacing w:val="69"/>
        </w:rPr>
        <w:t xml:space="preserve"> </w:t>
      </w:r>
      <w:r>
        <w:t>the</w:t>
      </w:r>
      <w:r>
        <w:rPr>
          <w:spacing w:val="69"/>
        </w:rPr>
        <w:t xml:space="preserve"> </w:t>
      </w:r>
      <w:r>
        <w:t>Ministry</w:t>
      </w:r>
      <w:r>
        <w:rPr>
          <w:spacing w:val="40"/>
        </w:rPr>
        <w:t xml:space="preserve"> </w:t>
      </w:r>
      <w:r>
        <w:t>of</w:t>
      </w:r>
      <w:r>
        <w:rPr>
          <w:spacing w:val="71"/>
        </w:rPr>
        <w:t xml:space="preserve"> </w:t>
      </w:r>
      <w:r>
        <w:t>Finance</w:t>
      </w:r>
      <w:r>
        <w:rPr>
          <w:spacing w:val="69"/>
        </w:rPr>
        <w:t xml:space="preserve"> </w:t>
      </w:r>
      <w:r>
        <w:t>&amp;</w:t>
      </w:r>
      <w:r>
        <w:rPr>
          <w:spacing w:val="40"/>
        </w:rPr>
        <w:t xml:space="preserve"> </w:t>
      </w:r>
      <w:r>
        <w:t>Treasury,</w:t>
      </w:r>
      <w:r>
        <w:rPr>
          <w:spacing w:val="69"/>
        </w:rPr>
        <w:t xml:space="preserve"> </w:t>
      </w:r>
      <w:r>
        <w:t>Mr.</w:t>
      </w:r>
      <w:r>
        <w:rPr>
          <w:spacing w:val="69"/>
        </w:rPr>
        <w:t xml:space="preserve"> </w:t>
      </w:r>
      <w:r>
        <w:t xml:space="preserve">Mckinnie </w:t>
      </w:r>
      <w:r>
        <w:rPr>
          <w:spacing w:val="-2"/>
        </w:rPr>
        <w:t>Dentana.</w:t>
      </w:r>
    </w:p>
    <w:p w:rsidR="00F03DF9" w:rsidRDefault="00934F9B" w:rsidP="000B4990">
      <w:pPr>
        <w:pStyle w:val="BodyText"/>
        <w:spacing w:line="360" w:lineRule="auto"/>
        <w:ind w:left="119"/>
        <w:jc w:val="left"/>
      </w:pPr>
      <w:r>
        <w:t>The</w:t>
      </w:r>
      <w:r>
        <w:rPr>
          <w:spacing w:val="-4"/>
        </w:rPr>
        <w:t xml:space="preserve"> </w:t>
      </w:r>
      <w:r w:rsidR="000B4990">
        <w:rPr>
          <w:spacing w:val="-4"/>
        </w:rPr>
        <w:t xml:space="preserve">Acting </w:t>
      </w:r>
      <w:r>
        <w:t>Governor</w:t>
      </w:r>
      <w:r>
        <w:rPr>
          <w:spacing w:val="-5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Central</w:t>
      </w:r>
      <w:r>
        <w:rPr>
          <w:spacing w:val="-3"/>
        </w:rPr>
        <w:t xml:space="preserve"> </w:t>
      </w:r>
      <w:r>
        <w:t>Bank</w:t>
      </w:r>
      <w:r>
        <w:rPr>
          <w:spacing w:val="-4"/>
        </w:rPr>
        <w:t xml:space="preserve"> </w:t>
      </w:r>
      <w:r>
        <w:t>of Solomon</w:t>
      </w:r>
      <w:r>
        <w:rPr>
          <w:spacing w:val="-1"/>
        </w:rPr>
        <w:t xml:space="preserve"> </w:t>
      </w:r>
      <w:r>
        <w:t>Islands,</w:t>
      </w:r>
      <w:r>
        <w:rPr>
          <w:spacing w:val="-3"/>
        </w:rPr>
        <w:t xml:space="preserve"> </w:t>
      </w:r>
      <w:r w:rsidR="003635CB">
        <w:rPr>
          <w:spacing w:val="-3"/>
        </w:rPr>
        <w:t>Mr. Ra</w:t>
      </w:r>
      <w:r w:rsidR="000D7EE1">
        <w:rPr>
          <w:spacing w:val="-3"/>
        </w:rPr>
        <w:t>y</w:t>
      </w:r>
      <w:r w:rsidR="003635CB">
        <w:rPr>
          <w:spacing w:val="-3"/>
        </w:rPr>
        <w:t>nold Moveni</w:t>
      </w:r>
    </w:p>
    <w:p w:rsidR="00F03DF9" w:rsidRDefault="00934F9B" w:rsidP="000B4990">
      <w:pPr>
        <w:pStyle w:val="BodyText"/>
        <w:spacing w:line="360" w:lineRule="auto"/>
        <w:ind w:left="119"/>
        <w:jc w:val="left"/>
      </w:pPr>
      <w:r>
        <w:t>Deputy</w:t>
      </w:r>
      <w:r>
        <w:rPr>
          <w:spacing w:val="-4"/>
        </w:rPr>
        <w:t xml:space="preserve"> </w:t>
      </w:r>
      <w:r>
        <w:t>Chairman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SINPF</w:t>
      </w:r>
      <w:r>
        <w:rPr>
          <w:spacing w:val="-2"/>
        </w:rPr>
        <w:t xml:space="preserve"> Board.</w:t>
      </w:r>
    </w:p>
    <w:p w:rsidR="00F03DF9" w:rsidRDefault="00934F9B" w:rsidP="000B4990">
      <w:pPr>
        <w:pStyle w:val="BodyText"/>
        <w:spacing w:line="360" w:lineRule="auto"/>
        <w:ind w:left="119" w:right="112"/>
      </w:pPr>
      <w:r>
        <w:t>CEO and Managers of SINPF subsidiaries – South Pacific Oil Limited, Solomon Telekom Company Ltd, Bank South Pacific Limited, Heritage Park Hotel Limited, Solomon</w:t>
      </w:r>
      <w:r>
        <w:rPr>
          <w:spacing w:val="-1"/>
        </w:rPr>
        <w:t xml:space="preserve"> </w:t>
      </w:r>
      <w:r>
        <w:t>Islands Submarine</w:t>
      </w:r>
      <w:r>
        <w:rPr>
          <w:spacing w:val="-1"/>
        </w:rPr>
        <w:t xml:space="preserve"> </w:t>
      </w:r>
      <w:r>
        <w:t>Cable</w:t>
      </w:r>
      <w:r>
        <w:rPr>
          <w:spacing w:val="-1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Limited,</w:t>
      </w:r>
      <w:r>
        <w:rPr>
          <w:spacing w:val="-1"/>
        </w:rPr>
        <w:t xml:space="preserve"> </w:t>
      </w:r>
      <w:r>
        <w:t>Soltuna</w:t>
      </w:r>
      <w:r>
        <w:rPr>
          <w:spacing w:val="-1"/>
        </w:rPr>
        <w:t xml:space="preserve"> </w:t>
      </w:r>
      <w:r>
        <w:t>Ltd,</w:t>
      </w:r>
      <w:r>
        <w:rPr>
          <w:spacing w:val="-1"/>
        </w:rPr>
        <w:t xml:space="preserve"> </w:t>
      </w:r>
      <w:r>
        <w:t>Solomon</w:t>
      </w:r>
      <w:r>
        <w:rPr>
          <w:spacing w:val="-1"/>
        </w:rPr>
        <w:t xml:space="preserve"> </w:t>
      </w:r>
      <w:r>
        <w:t>Housing Ltd and Solomon Finance Ltd.</w:t>
      </w:r>
    </w:p>
    <w:p w:rsidR="00F03DF9" w:rsidRDefault="00934F9B" w:rsidP="000B4990">
      <w:pPr>
        <w:pStyle w:val="BodyText"/>
        <w:spacing w:line="360" w:lineRule="auto"/>
        <w:ind w:left="119" w:right="121"/>
        <w:jc w:val="left"/>
      </w:pPr>
      <w:r>
        <w:t>Chairman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CEO,</w:t>
      </w:r>
      <w:r>
        <w:rPr>
          <w:spacing w:val="-3"/>
        </w:rPr>
        <w:t xml:space="preserve"> </w:t>
      </w:r>
      <w:r>
        <w:t>Solomon</w:t>
      </w:r>
      <w:r>
        <w:rPr>
          <w:spacing w:val="-3"/>
        </w:rPr>
        <w:t xml:space="preserve"> </w:t>
      </w:r>
      <w:r>
        <w:t>Islands</w:t>
      </w:r>
      <w:r>
        <w:rPr>
          <w:spacing w:val="-6"/>
        </w:rPr>
        <w:t xml:space="preserve"> </w:t>
      </w:r>
      <w:r>
        <w:t>Chamber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Commerce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Industry Presidents of Key Unions in Solomon Islands</w:t>
      </w:r>
    </w:p>
    <w:p w:rsidR="00F03DF9" w:rsidRDefault="00934F9B" w:rsidP="000B4990">
      <w:pPr>
        <w:pStyle w:val="BodyText"/>
        <w:spacing w:line="360" w:lineRule="auto"/>
        <w:ind w:left="119" w:right="4919"/>
        <w:jc w:val="left"/>
      </w:pPr>
      <w:r>
        <w:t>Management</w:t>
      </w:r>
      <w:r>
        <w:rPr>
          <w:spacing w:val="-10"/>
        </w:rPr>
        <w:t xml:space="preserve"> </w:t>
      </w:r>
      <w:r>
        <w:t>team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Fund Members of the Media.</w:t>
      </w:r>
    </w:p>
    <w:p w:rsidR="00C71701" w:rsidRDefault="00C71701" w:rsidP="00D0055E">
      <w:pPr>
        <w:pStyle w:val="BodyText"/>
        <w:spacing w:line="360" w:lineRule="auto"/>
        <w:ind w:left="0" w:right="113"/>
      </w:pPr>
    </w:p>
    <w:p w:rsidR="00FD7BB2" w:rsidRDefault="00C71701" w:rsidP="00D0055E">
      <w:pPr>
        <w:pStyle w:val="BodyText"/>
        <w:spacing w:line="360" w:lineRule="auto"/>
        <w:ind w:right="113" w:firstLine="336"/>
        <w:rPr>
          <w:bCs/>
        </w:rPr>
      </w:pPr>
      <w:r>
        <w:t xml:space="preserve">The Fund’s </w:t>
      </w:r>
      <w:r w:rsidR="004F3AFB">
        <w:t xml:space="preserve">draft </w:t>
      </w:r>
      <w:r>
        <w:t xml:space="preserve">financial performance </w:t>
      </w:r>
      <w:r w:rsidR="004B33AC">
        <w:t>softened</w:t>
      </w:r>
      <w:r>
        <w:t xml:space="preserve"> in the year ending 30 June 2024</w:t>
      </w:r>
      <w:r w:rsidR="004A43E0">
        <w:t>,</w:t>
      </w:r>
      <w:r w:rsidR="00C54185">
        <w:t xml:space="preserve"> recording </w:t>
      </w:r>
      <w:r w:rsidR="00B243B5">
        <w:t xml:space="preserve">a </w:t>
      </w:r>
      <w:r w:rsidR="00F81EC2">
        <w:t xml:space="preserve">gross income of </w:t>
      </w:r>
      <w:r w:rsidR="004B33AC" w:rsidRPr="004F3AFB">
        <w:t xml:space="preserve">$ </w:t>
      </w:r>
      <w:r w:rsidR="00F81EC2" w:rsidRPr="004F3AFB">
        <w:rPr>
          <w:bCs/>
        </w:rPr>
        <w:t>2</w:t>
      </w:r>
      <w:r w:rsidR="00F0513A">
        <w:rPr>
          <w:bCs/>
        </w:rPr>
        <w:t>52</w:t>
      </w:r>
      <w:r w:rsidR="00F81EC2" w:rsidRPr="004F3AFB">
        <w:rPr>
          <w:bCs/>
        </w:rPr>
        <w:t>,</w:t>
      </w:r>
      <w:r w:rsidR="00F0513A">
        <w:rPr>
          <w:bCs/>
        </w:rPr>
        <w:t>225</w:t>
      </w:r>
      <w:r w:rsidR="00F81EC2" w:rsidRPr="004F3AFB">
        <w:rPr>
          <w:bCs/>
        </w:rPr>
        <w:t>,4</w:t>
      </w:r>
      <w:r w:rsidR="00F0513A">
        <w:rPr>
          <w:bCs/>
        </w:rPr>
        <w:t>56</w:t>
      </w:r>
      <w:r w:rsidR="00FE28F6">
        <w:rPr>
          <w:bCs/>
        </w:rPr>
        <w:t>. This is</w:t>
      </w:r>
      <w:r w:rsidR="00D405EF" w:rsidRPr="004F3AFB">
        <w:rPr>
          <w:bCs/>
        </w:rPr>
        <w:t xml:space="preserve"> down from last </w:t>
      </w:r>
      <w:r w:rsidR="00AD3C03">
        <w:rPr>
          <w:bCs/>
        </w:rPr>
        <w:t xml:space="preserve">financial year </w:t>
      </w:r>
      <w:r w:rsidR="00223D45">
        <w:rPr>
          <w:bCs/>
        </w:rPr>
        <w:t xml:space="preserve">audited </w:t>
      </w:r>
      <w:r w:rsidR="00A74BEB">
        <w:rPr>
          <w:bCs/>
        </w:rPr>
        <w:t>gross income</w:t>
      </w:r>
      <w:r w:rsidR="006250C1">
        <w:rPr>
          <w:bCs/>
        </w:rPr>
        <w:t xml:space="preserve"> </w:t>
      </w:r>
      <w:r w:rsidR="00B243B5" w:rsidRPr="00B243B5">
        <w:rPr>
          <w:bCs/>
        </w:rPr>
        <w:t>of $</w:t>
      </w:r>
      <w:r w:rsidR="007831B3" w:rsidRPr="007831B3">
        <w:rPr>
          <w:bCs/>
        </w:rPr>
        <w:t>3</w:t>
      </w:r>
      <w:r w:rsidR="00F0513A">
        <w:rPr>
          <w:bCs/>
        </w:rPr>
        <w:t>54</w:t>
      </w:r>
      <w:r w:rsidR="007831B3" w:rsidRPr="007831B3">
        <w:rPr>
          <w:bCs/>
        </w:rPr>
        <w:t>,</w:t>
      </w:r>
      <w:r w:rsidR="00F0513A">
        <w:rPr>
          <w:bCs/>
        </w:rPr>
        <w:t>658</w:t>
      </w:r>
      <w:r w:rsidR="007831B3" w:rsidRPr="007831B3">
        <w:rPr>
          <w:bCs/>
        </w:rPr>
        <w:t>,8</w:t>
      </w:r>
      <w:r w:rsidR="00F0513A">
        <w:rPr>
          <w:bCs/>
        </w:rPr>
        <w:t>63</w:t>
      </w:r>
      <w:r w:rsidR="006250C1">
        <w:rPr>
          <w:bCs/>
        </w:rPr>
        <w:t>.</w:t>
      </w:r>
      <w:r w:rsidR="002164B5">
        <w:rPr>
          <w:bCs/>
        </w:rPr>
        <w:t xml:space="preserve"> </w:t>
      </w:r>
      <w:r w:rsidR="001768DD">
        <w:rPr>
          <w:bCs/>
        </w:rPr>
        <w:t xml:space="preserve">  </w:t>
      </w:r>
      <w:r w:rsidR="00A74BEB">
        <w:rPr>
          <w:bCs/>
        </w:rPr>
        <w:t xml:space="preserve">The </w:t>
      </w:r>
      <w:r w:rsidR="00F0513A">
        <w:rPr>
          <w:bCs/>
        </w:rPr>
        <w:t>reduction</w:t>
      </w:r>
      <w:r w:rsidR="00A74BEB">
        <w:rPr>
          <w:bCs/>
        </w:rPr>
        <w:t xml:space="preserve"> was primarily driven by </w:t>
      </w:r>
      <w:r w:rsidR="001A39BF">
        <w:rPr>
          <w:bCs/>
        </w:rPr>
        <w:t xml:space="preserve">the reduction of our </w:t>
      </w:r>
      <w:r w:rsidR="006B2ECC">
        <w:rPr>
          <w:bCs/>
        </w:rPr>
        <w:t xml:space="preserve">listed and unlisted equity </w:t>
      </w:r>
      <w:r w:rsidR="001A39BF">
        <w:rPr>
          <w:bCs/>
        </w:rPr>
        <w:t xml:space="preserve">fair value revaluation gains from $147,340,381 </w:t>
      </w:r>
      <w:r w:rsidR="00F0513A">
        <w:rPr>
          <w:bCs/>
        </w:rPr>
        <w:t xml:space="preserve">recorded in 2023 </w:t>
      </w:r>
      <w:r w:rsidR="001A39BF">
        <w:rPr>
          <w:bCs/>
        </w:rPr>
        <w:t>to $35,841,902</w:t>
      </w:r>
      <w:r w:rsidR="00F0513A">
        <w:rPr>
          <w:bCs/>
        </w:rPr>
        <w:t xml:space="preserve"> recorded in the 2024 financial year</w:t>
      </w:r>
      <w:r w:rsidR="001A39BF">
        <w:rPr>
          <w:bCs/>
        </w:rPr>
        <w:t xml:space="preserve">.  </w:t>
      </w:r>
    </w:p>
    <w:p w:rsidR="008B3E4B" w:rsidRDefault="001A39BF" w:rsidP="00C60619">
      <w:pPr>
        <w:pStyle w:val="BodyText"/>
        <w:spacing w:line="360" w:lineRule="auto"/>
        <w:ind w:right="113" w:firstLine="336"/>
        <w:rPr>
          <w:bCs/>
        </w:rPr>
      </w:pPr>
      <w:r>
        <w:rPr>
          <w:bCs/>
        </w:rPr>
        <w:t xml:space="preserve">You may recall that all our traded market listed equity prices and the </w:t>
      </w:r>
      <w:r w:rsidR="00F0513A">
        <w:rPr>
          <w:bCs/>
        </w:rPr>
        <w:t>international currencies</w:t>
      </w:r>
      <w:r>
        <w:rPr>
          <w:bCs/>
        </w:rPr>
        <w:t xml:space="preserve"> they are denominated in</w:t>
      </w:r>
      <w:r w:rsidR="00F0513A">
        <w:rPr>
          <w:bCs/>
        </w:rPr>
        <w:t>,</w:t>
      </w:r>
      <w:r>
        <w:rPr>
          <w:bCs/>
        </w:rPr>
        <w:t xml:space="preserve"> are revalued on their market traded prices </w:t>
      </w:r>
      <w:r w:rsidR="00990E17">
        <w:rPr>
          <w:bCs/>
        </w:rPr>
        <w:t>on 30</w:t>
      </w:r>
      <w:r w:rsidR="008B3E4B">
        <w:rPr>
          <w:bCs/>
        </w:rPr>
        <w:t xml:space="preserve"> </w:t>
      </w:r>
      <w:r w:rsidR="00990E17">
        <w:rPr>
          <w:bCs/>
        </w:rPr>
        <w:t>June</w:t>
      </w:r>
      <w:r w:rsidR="00B325A6">
        <w:rPr>
          <w:bCs/>
        </w:rPr>
        <w:t xml:space="preserve"> of each year</w:t>
      </w:r>
      <w:r w:rsidR="00990E17">
        <w:rPr>
          <w:bCs/>
        </w:rPr>
        <w:t>.</w:t>
      </w:r>
      <w:r w:rsidR="00FD7BB2">
        <w:rPr>
          <w:bCs/>
        </w:rPr>
        <w:t xml:space="preserve"> For our unlisted domestic equities, unlisted international equities and domestic investment properties</w:t>
      </w:r>
      <w:r w:rsidR="00F0513A">
        <w:rPr>
          <w:bCs/>
        </w:rPr>
        <w:t>,</w:t>
      </w:r>
      <w:r w:rsidR="00FD7BB2">
        <w:rPr>
          <w:bCs/>
        </w:rPr>
        <w:t xml:space="preserve"> these are also </w:t>
      </w:r>
      <w:r w:rsidR="00F0513A">
        <w:rPr>
          <w:bCs/>
        </w:rPr>
        <w:t xml:space="preserve">revalued </w:t>
      </w:r>
      <w:r w:rsidR="00FD7BB2">
        <w:rPr>
          <w:bCs/>
        </w:rPr>
        <w:t xml:space="preserve">annually by </w:t>
      </w:r>
      <w:r w:rsidR="00FE28F6">
        <w:rPr>
          <w:bCs/>
        </w:rPr>
        <w:t xml:space="preserve">external </w:t>
      </w:r>
      <w:r w:rsidR="00F0513A">
        <w:rPr>
          <w:bCs/>
        </w:rPr>
        <w:lastRenderedPageBreak/>
        <w:t>international and national independent competent valuers.</w:t>
      </w:r>
      <w:r w:rsidR="00FD7BB2">
        <w:rPr>
          <w:bCs/>
        </w:rPr>
        <w:t xml:space="preserve"> </w:t>
      </w:r>
      <w:r>
        <w:rPr>
          <w:bCs/>
        </w:rPr>
        <w:t xml:space="preserve">  </w:t>
      </w:r>
      <w:r w:rsidR="00F0513A">
        <w:rPr>
          <w:bCs/>
        </w:rPr>
        <w:t>For our unlisted equities (South Pacific Oil Limited, Solomon Telekom Company Ltd</w:t>
      </w:r>
      <w:r w:rsidR="008B3E4B">
        <w:rPr>
          <w:bCs/>
        </w:rPr>
        <w:t>, Heritage Park Hotel Ltd</w:t>
      </w:r>
      <w:r w:rsidR="00F0513A">
        <w:rPr>
          <w:bCs/>
        </w:rPr>
        <w:t xml:space="preserve"> etc. are valued by international accounting firm </w:t>
      </w:r>
      <w:proofErr w:type="spellStart"/>
      <w:r w:rsidR="00F0513A">
        <w:rPr>
          <w:bCs/>
        </w:rPr>
        <w:t>Deloittes</w:t>
      </w:r>
      <w:proofErr w:type="spellEnd"/>
      <w:r w:rsidR="00F0513A">
        <w:rPr>
          <w:bCs/>
        </w:rPr>
        <w:t xml:space="preserve"> based out of </w:t>
      </w:r>
      <w:r w:rsidR="008B3E4B">
        <w:rPr>
          <w:bCs/>
        </w:rPr>
        <w:t>Australia).</w:t>
      </w:r>
    </w:p>
    <w:p w:rsidR="008B3E4B" w:rsidRDefault="00D0055E" w:rsidP="008B3E4B">
      <w:pPr>
        <w:pStyle w:val="BodyText"/>
        <w:spacing w:line="360" w:lineRule="auto"/>
        <w:ind w:right="113"/>
        <w:rPr>
          <w:bCs/>
        </w:rPr>
      </w:pPr>
      <w:r>
        <w:rPr>
          <w:bCs/>
        </w:rPr>
        <w:t xml:space="preserve">     </w:t>
      </w:r>
      <w:r w:rsidR="008B3E4B">
        <w:rPr>
          <w:bCs/>
        </w:rPr>
        <w:t>After adjusting for operating and member expenses of $108,804,837, the Fund has a</w:t>
      </w:r>
      <w:r w:rsidR="00C75DE9">
        <w:rPr>
          <w:bCs/>
        </w:rPr>
        <w:t>n</w:t>
      </w:r>
      <w:r w:rsidR="008B3E4B">
        <w:rPr>
          <w:bCs/>
        </w:rPr>
        <w:t xml:space="preserve"> operating surplus of $143,420,619 that is available for crediting to members</w:t>
      </w:r>
      <w:r w:rsidR="00FE28F6">
        <w:rPr>
          <w:bCs/>
        </w:rPr>
        <w:t xml:space="preserve"> today</w:t>
      </w:r>
      <w:r w:rsidR="008B3E4B">
        <w:rPr>
          <w:bCs/>
        </w:rPr>
        <w:t xml:space="preserve">.  </w:t>
      </w:r>
    </w:p>
    <w:p w:rsidR="00C75DE9" w:rsidRDefault="00C75DE9" w:rsidP="00C75DE9">
      <w:pPr>
        <w:pStyle w:val="BodyText"/>
        <w:spacing w:line="360" w:lineRule="auto"/>
        <w:ind w:left="119" w:right="113"/>
        <w:rPr>
          <w:bCs/>
        </w:rPr>
      </w:pPr>
    </w:p>
    <w:p w:rsidR="00C75DE9" w:rsidRDefault="00C75DE9" w:rsidP="00C75DE9">
      <w:pPr>
        <w:pStyle w:val="BodyText"/>
        <w:spacing w:line="360" w:lineRule="auto"/>
        <w:ind w:left="119" w:right="113"/>
        <w:rPr>
          <w:b/>
          <w:bCs/>
        </w:rPr>
      </w:pPr>
      <w:r w:rsidRPr="00C75DE9">
        <w:rPr>
          <w:b/>
          <w:bCs/>
        </w:rPr>
        <w:t xml:space="preserve">A: Key Drivers of our 2024 Financial </w:t>
      </w:r>
      <w:r w:rsidR="00FE28F6">
        <w:rPr>
          <w:b/>
          <w:bCs/>
        </w:rPr>
        <w:t>Performance</w:t>
      </w:r>
      <w:r w:rsidRPr="00C75DE9">
        <w:rPr>
          <w:b/>
          <w:bCs/>
        </w:rPr>
        <w:t xml:space="preserve">  </w:t>
      </w:r>
    </w:p>
    <w:p w:rsidR="00C75DE9" w:rsidRPr="00C75DE9" w:rsidRDefault="00C75DE9" w:rsidP="00C75DE9">
      <w:pPr>
        <w:pStyle w:val="BodyText"/>
        <w:spacing w:line="360" w:lineRule="auto"/>
        <w:ind w:left="119" w:right="113"/>
        <w:rPr>
          <w:b/>
          <w:bCs/>
        </w:rPr>
      </w:pPr>
    </w:p>
    <w:p w:rsidR="00FE28F6" w:rsidRDefault="00C75DE9" w:rsidP="00C75DE9">
      <w:pPr>
        <w:pStyle w:val="BodyText"/>
        <w:spacing w:line="360" w:lineRule="auto"/>
        <w:ind w:left="119" w:right="113"/>
        <w:rPr>
          <w:bCs/>
        </w:rPr>
      </w:pPr>
      <w:r>
        <w:rPr>
          <w:bCs/>
        </w:rPr>
        <w:t xml:space="preserve">     </w:t>
      </w:r>
      <w:r w:rsidRPr="00C75DE9">
        <w:rPr>
          <w:bCs/>
        </w:rPr>
        <w:t>We ha</w:t>
      </w:r>
      <w:r w:rsidR="00C11AA7">
        <w:rPr>
          <w:bCs/>
        </w:rPr>
        <w:t>d</w:t>
      </w:r>
      <w:r w:rsidRPr="00C75DE9">
        <w:rPr>
          <w:bCs/>
        </w:rPr>
        <w:t xml:space="preserve"> received dividends </w:t>
      </w:r>
      <w:r w:rsidR="00F44D4A">
        <w:rPr>
          <w:bCs/>
        </w:rPr>
        <w:t>worth</w:t>
      </w:r>
      <w:r w:rsidRPr="00C75DE9">
        <w:rPr>
          <w:bCs/>
        </w:rPr>
        <w:t xml:space="preserve"> more than $114 million from </w:t>
      </w:r>
      <w:r w:rsidR="00F44D4A">
        <w:rPr>
          <w:bCs/>
        </w:rPr>
        <w:t xml:space="preserve">the following; </w:t>
      </w:r>
      <w:r w:rsidRPr="00C75DE9">
        <w:rPr>
          <w:bCs/>
        </w:rPr>
        <w:t xml:space="preserve">South Pacific Oil Limited ($60,000,000), Solomon Telekom Company Limited ($42,821,028), </w:t>
      </w:r>
      <w:r w:rsidR="00934F9B" w:rsidRPr="00C75DE9">
        <w:rPr>
          <w:bCs/>
        </w:rPr>
        <w:t>BSP Financial Group Ltd</w:t>
      </w:r>
      <w:r w:rsidRPr="00C75DE9">
        <w:rPr>
          <w:bCs/>
        </w:rPr>
        <w:t xml:space="preserve"> ($8,352143)</w:t>
      </w:r>
      <w:r w:rsidR="00934F9B" w:rsidRPr="00C75DE9">
        <w:rPr>
          <w:bCs/>
        </w:rPr>
        <w:t xml:space="preserve">, UBS Australian Share Fund </w:t>
      </w:r>
      <w:r w:rsidRPr="00C75DE9">
        <w:rPr>
          <w:bCs/>
        </w:rPr>
        <w:t xml:space="preserve">($2,210,399) and </w:t>
      </w:r>
      <w:r w:rsidR="00934F9B" w:rsidRPr="00C75DE9">
        <w:rPr>
          <w:bCs/>
        </w:rPr>
        <w:t xml:space="preserve">Solomon Islands Submarine Cable Company Ltd </w:t>
      </w:r>
      <w:r w:rsidRPr="00C75DE9">
        <w:rPr>
          <w:bCs/>
        </w:rPr>
        <w:t>($842,648).</w:t>
      </w:r>
      <w:r w:rsidR="00432CE8">
        <w:rPr>
          <w:bCs/>
        </w:rPr>
        <w:t xml:space="preserve">  This is a reduction on the previous 2023 financial year level of $ 123,181,180</w:t>
      </w:r>
      <w:r w:rsidR="00FE28F6">
        <w:rPr>
          <w:bCs/>
        </w:rPr>
        <w:t xml:space="preserve"> and</w:t>
      </w:r>
      <w:r w:rsidR="00432CE8">
        <w:rPr>
          <w:bCs/>
        </w:rPr>
        <w:t xml:space="preserve"> </w:t>
      </w:r>
      <w:r w:rsidR="00FE28F6">
        <w:rPr>
          <w:bCs/>
        </w:rPr>
        <w:t xml:space="preserve">mainly </w:t>
      </w:r>
      <w:r w:rsidR="00432CE8">
        <w:rPr>
          <w:bCs/>
        </w:rPr>
        <w:t xml:space="preserve">due to movement in </w:t>
      </w:r>
      <w:r w:rsidR="00FE28F6">
        <w:rPr>
          <w:bCs/>
        </w:rPr>
        <w:t xml:space="preserve">foreign </w:t>
      </w:r>
      <w:r w:rsidR="00432CE8">
        <w:rPr>
          <w:bCs/>
        </w:rPr>
        <w:t>exchange rates and changes to one of our key equity investment company dividend policy</w:t>
      </w:r>
      <w:r w:rsidR="00FE28F6">
        <w:rPr>
          <w:bCs/>
        </w:rPr>
        <w:t>.</w:t>
      </w:r>
      <w:r w:rsidRPr="00C75DE9">
        <w:rPr>
          <w:bCs/>
        </w:rPr>
        <w:t xml:space="preserve">     </w:t>
      </w:r>
    </w:p>
    <w:p w:rsidR="00C75DE9" w:rsidRPr="00C75DE9" w:rsidRDefault="00FE28F6" w:rsidP="00C75DE9">
      <w:pPr>
        <w:pStyle w:val="BodyText"/>
        <w:spacing w:line="360" w:lineRule="auto"/>
        <w:ind w:left="119" w:right="113"/>
        <w:rPr>
          <w:bCs/>
        </w:rPr>
      </w:pPr>
      <w:r>
        <w:rPr>
          <w:bCs/>
        </w:rPr>
        <w:t xml:space="preserve">     </w:t>
      </w:r>
      <w:r w:rsidR="00C75DE9" w:rsidRPr="00C75DE9">
        <w:rPr>
          <w:bCs/>
        </w:rPr>
        <w:t xml:space="preserve">Our interest income from Solomon Islands Government </w:t>
      </w:r>
      <w:proofErr w:type="gramStart"/>
      <w:r w:rsidR="00C75DE9" w:rsidRPr="00C75DE9">
        <w:rPr>
          <w:bCs/>
        </w:rPr>
        <w:t>short and long term</w:t>
      </w:r>
      <w:proofErr w:type="gramEnd"/>
      <w:r w:rsidR="00C75DE9" w:rsidRPr="00C75DE9">
        <w:rPr>
          <w:bCs/>
        </w:rPr>
        <w:t xml:space="preserve"> debts surged by more than 47% on 2023 level of</w:t>
      </w:r>
      <w:r w:rsidR="00C75DE9" w:rsidRPr="00C75DE9">
        <w:rPr>
          <w:bCs/>
          <w:lang/>
        </w:rPr>
        <w:t xml:space="preserve"> </w:t>
      </w:r>
      <w:r w:rsidR="00C75DE9" w:rsidRPr="00C75DE9">
        <w:rPr>
          <w:bCs/>
        </w:rPr>
        <w:t>$17,551,384</w:t>
      </w:r>
      <w:r w:rsidR="00C75DE9" w:rsidRPr="00C75DE9">
        <w:rPr>
          <w:bCs/>
          <w:lang/>
        </w:rPr>
        <w:t xml:space="preserve"> </w:t>
      </w:r>
      <w:r w:rsidR="00C75DE9" w:rsidRPr="00C75DE9">
        <w:rPr>
          <w:bCs/>
        </w:rPr>
        <w:t>to reach $25,788,584 in 2024. As an investment asset class Solomon Islands Government debt papers has increasingly contributed strongly to the Fund’s income in recent years.</w:t>
      </w:r>
    </w:p>
    <w:p w:rsidR="00C75DE9" w:rsidRPr="00C75DE9" w:rsidRDefault="00C75DE9" w:rsidP="00C75DE9">
      <w:pPr>
        <w:pStyle w:val="BodyText"/>
        <w:spacing w:line="360" w:lineRule="auto"/>
        <w:ind w:left="119" w:right="113"/>
        <w:rPr>
          <w:bCs/>
        </w:rPr>
      </w:pPr>
      <w:r w:rsidRPr="00C75DE9">
        <w:rPr>
          <w:bCs/>
          <w:lang/>
        </w:rPr>
        <w:t xml:space="preserve">     </w:t>
      </w:r>
      <w:r w:rsidRPr="00C75DE9">
        <w:rPr>
          <w:bCs/>
        </w:rPr>
        <w:t>Interest income from our shareholder loans to our national investee companies Solomon Telekom Ltd ($4,111,9556), Heritage Park Hotel Ltd ($2,678,621), Soltuna Ltd ($997,846), Solomon Finance Ltd ($277,007), and SI Submarine Cable Company Ltd ($316,895) have also contributed strongly to the Fund’s 2024 income performance</w:t>
      </w:r>
      <w:r w:rsidR="00D922A3">
        <w:rPr>
          <w:bCs/>
        </w:rPr>
        <w:t>.</w:t>
      </w:r>
      <w:r w:rsidRPr="00C75DE9">
        <w:rPr>
          <w:bCs/>
        </w:rPr>
        <w:t xml:space="preserve">  </w:t>
      </w:r>
    </w:p>
    <w:p w:rsidR="00C75DE9" w:rsidRPr="00C75DE9" w:rsidRDefault="00C75DE9" w:rsidP="00C75DE9">
      <w:pPr>
        <w:pStyle w:val="BodyText"/>
        <w:spacing w:line="360" w:lineRule="auto"/>
        <w:ind w:left="119" w:right="113"/>
        <w:rPr>
          <w:bCs/>
        </w:rPr>
      </w:pPr>
      <w:r w:rsidRPr="00C75DE9">
        <w:rPr>
          <w:bCs/>
        </w:rPr>
        <w:t xml:space="preserve">     The Fund’s recent 2023 loan to our national carrier Solomon Airlines Ltd has started</w:t>
      </w:r>
      <w:r w:rsidR="000D0485">
        <w:rPr>
          <w:bCs/>
        </w:rPr>
        <w:t xml:space="preserve"> repayments</w:t>
      </w:r>
      <w:r w:rsidRPr="00C75DE9">
        <w:rPr>
          <w:bCs/>
        </w:rPr>
        <w:t xml:space="preserve"> contributing strongly to our 2024 income with an interest income of $1,251,315. </w:t>
      </w:r>
    </w:p>
    <w:p w:rsidR="00C75DE9" w:rsidRPr="00C75DE9" w:rsidRDefault="00C75DE9" w:rsidP="00C75DE9">
      <w:pPr>
        <w:pStyle w:val="BodyText"/>
        <w:spacing w:line="360" w:lineRule="auto"/>
        <w:ind w:left="119" w:right="113"/>
        <w:rPr>
          <w:bCs/>
        </w:rPr>
      </w:pPr>
      <w:r w:rsidRPr="00C75DE9">
        <w:rPr>
          <w:bCs/>
        </w:rPr>
        <w:t xml:space="preserve">      Our property rental income was basically flat in 2024 </w:t>
      </w:r>
      <w:r w:rsidR="006B2ECC">
        <w:rPr>
          <w:bCs/>
        </w:rPr>
        <w:t>at</w:t>
      </w:r>
      <w:r w:rsidRPr="00C75DE9">
        <w:rPr>
          <w:bCs/>
        </w:rPr>
        <w:t xml:space="preserve"> the same level of </w:t>
      </w:r>
      <w:r w:rsidR="00F44D4A">
        <w:rPr>
          <w:bCs/>
        </w:rPr>
        <w:t xml:space="preserve">around </w:t>
      </w:r>
      <w:r w:rsidRPr="00C75DE9">
        <w:rPr>
          <w:bCs/>
        </w:rPr>
        <w:t xml:space="preserve">$ 34 million received from tenants leasing our investment properties.  Our 2 key property asset earners are the ASB ($14,169,510) and the executive apartments ($8,939,880).  </w:t>
      </w:r>
    </w:p>
    <w:p w:rsidR="00A63DE4" w:rsidRDefault="00D81DE6" w:rsidP="000B4990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</w:t>
      </w:r>
    </w:p>
    <w:p w:rsidR="00A63DE4" w:rsidRPr="00A63DE4" w:rsidRDefault="00A63DE4" w:rsidP="000B4990">
      <w:pPr>
        <w:spacing w:line="360" w:lineRule="auto"/>
        <w:jc w:val="both"/>
        <w:rPr>
          <w:sz w:val="24"/>
        </w:rPr>
        <w:sectPr w:rsidR="00A63DE4" w:rsidRPr="00A63DE4">
          <w:footerReference w:type="default" r:id="rId8"/>
          <w:pgSz w:w="11910" w:h="16840"/>
          <w:pgMar w:top="1340" w:right="1320" w:bottom="1200" w:left="1320" w:header="0" w:footer="1002" w:gutter="0"/>
          <w:cols w:space="720"/>
        </w:sectPr>
      </w:pPr>
    </w:p>
    <w:p w:rsidR="00A63DE4" w:rsidRPr="00A63DE4" w:rsidRDefault="00A63DE4" w:rsidP="00A63DE4">
      <w:pPr>
        <w:pStyle w:val="BodyText"/>
        <w:spacing w:line="360" w:lineRule="auto"/>
        <w:ind w:left="0" w:right="112"/>
        <w:rPr>
          <w:b/>
        </w:rPr>
      </w:pPr>
      <w:r w:rsidRPr="00A63DE4">
        <w:rPr>
          <w:b/>
        </w:rPr>
        <w:lastRenderedPageBreak/>
        <w:t xml:space="preserve">B: </w:t>
      </w:r>
      <w:r w:rsidR="0012553E">
        <w:rPr>
          <w:b/>
        </w:rPr>
        <w:t xml:space="preserve">Formal </w:t>
      </w:r>
      <w:r w:rsidRPr="00A63DE4">
        <w:rPr>
          <w:b/>
        </w:rPr>
        <w:t xml:space="preserve">Membership </w:t>
      </w:r>
    </w:p>
    <w:p w:rsidR="005D0464" w:rsidRPr="00FC3484" w:rsidRDefault="00FC3484" w:rsidP="00FC3484">
      <w:pPr>
        <w:pStyle w:val="BodyText"/>
        <w:spacing w:line="360" w:lineRule="auto"/>
        <w:ind w:left="0" w:right="112"/>
      </w:pPr>
      <w:r>
        <w:t xml:space="preserve">     </w:t>
      </w:r>
      <w:r w:rsidR="00585A22" w:rsidRPr="00FC3484">
        <w:t>6,644</w:t>
      </w:r>
      <w:r w:rsidR="00934F9B" w:rsidRPr="00FC3484">
        <w:t xml:space="preserve"> new </w:t>
      </w:r>
      <w:r w:rsidR="00585A22" w:rsidRPr="00FC3484">
        <w:t xml:space="preserve">formal </w:t>
      </w:r>
      <w:r w:rsidR="00934F9B" w:rsidRPr="00FC3484">
        <w:t>members were registered during the year, up from the previous</w:t>
      </w:r>
      <w:r>
        <w:t xml:space="preserve"> </w:t>
      </w:r>
      <w:r w:rsidR="00934F9B" w:rsidRPr="00FC3484">
        <w:t>year’s level of 5,</w:t>
      </w:r>
      <w:r w:rsidR="00585A22" w:rsidRPr="00FC3484">
        <w:t>881</w:t>
      </w:r>
      <w:r w:rsidR="0004211C">
        <w:t>. This is</w:t>
      </w:r>
      <w:r w:rsidR="00585A22" w:rsidRPr="00FC3484">
        <w:t xml:space="preserve"> an increase of just under 13% on 2023</w:t>
      </w:r>
      <w:r w:rsidR="00F44D4A" w:rsidRPr="00FC3484">
        <w:t xml:space="preserve"> new formal membership</w:t>
      </w:r>
      <w:r w:rsidR="00934F9B" w:rsidRPr="00FC3484">
        <w:t>.</w:t>
      </w:r>
      <w:r w:rsidR="00DD0A4B" w:rsidRPr="00FC3484">
        <w:t xml:space="preserve">  As our economy recovers and continue </w:t>
      </w:r>
      <w:r w:rsidR="00446677" w:rsidRPr="00FC3484">
        <w:t xml:space="preserve">to </w:t>
      </w:r>
      <w:r w:rsidR="00DD0A4B" w:rsidRPr="00FC3484">
        <w:t xml:space="preserve">grow we expect new employment to </w:t>
      </w:r>
      <w:r w:rsidR="001F3856" w:rsidRPr="00FC3484">
        <w:t>continue to expand.</w:t>
      </w:r>
    </w:p>
    <w:p w:rsidR="005D0464" w:rsidRPr="00FC3484" w:rsidRDefault="00FC3484" w:rsidP="00FC3484">
      <w:pPr>
        <w:pStyle w:val="BodyText"/>
        <w:spacing w:line="360" w:lineRule="auto"/>
        <w:ind w:left="0" w:right="112"/>
        <w:rPr>
          <w:spacing w:val="40"/>
        </w:rPr>
      </w:pPr>
      <w:r>
        <w:t xml:space="preserve">     </w:t>
      </w:r>
      <w:r w:rsidR="005D0464" w:rsidRPr="00FC3484">
        <w:t>Contributions received from employers and formal members increased to $381,990,181 in 2024, up from $378,748,981 recorded in 2023 for an increase of just</w:t>
      </w:r>
      <w:r>
        <w:t xml:space="preserve"> </w:t>
      </w:r>
      <w:r w:rsidR="005D0464" w:rsidRPr="00FC3484">
        <w:t xml:space="preserve">under 1%. </w:t>
      </w:r>
      <w:r w:rsidR="005D0464" w:rsidRPr="00FC3484">
        <w:rPr>
          <w:spacing w:val="40"/>
        </w:rPr>
        <w:t xml:space="preserve"> </w:t>
      </w:r>
    </w:p>
    <w:p w:rsidR="00F124C6" w:rsidRPr="00FC3484" w:rsidRDefault="00FC3484" w:rsidP="00FC3484">
      <w:pPr>
        <w:spacing w:line="360" w:lineRule="auto"/>
        <w:jc w:val="both"/>
        <w:rPr>
          <w:rFonts w:eastAsia="Times New Roman"/>
          <w:color w:val="000000"/>
          <w:sz w:val="24"/>
          <w:szCs w:val="24"/>
          <w:lang/>
        </w:rPr>
      </w:pPr>
      <w:r>
        <w:rPr>
          <w:sz w:val="24"/>
          <w:szCs w:val="24"/>
        </w:rPr>
        <w:t xml:space="preserve">     </w:t>
      </w:r>
      <w:r w:rsidR="001F3856" w:rsidRPr="00FC3484">
        <w:rPr>
          <w:sz w:val="24"/>
          <w:szCs w:val="24"/>
        </w:rPr>
        <w:t>The Fund’s total formal membership with credit balances increased to 152,047, from 147,222 in 2023</w:t>
      </w:r>
      <w:r w:rsidR="00446677" w:rsidRPr="00FC3484">
        <w:rPr>
          <w:sz w:val="24"/>
          <w:szCs w:val="24"/>
        </w:rPr>
        <w:t xml:space="preserve"> for a total contribution value of $</w:t>
      </w:r>
      <w:r w:rsidR="00446677" w:rsidRPr="00FC3484">
        <w:rPr>
          <w:rFonts w:eastAsia="Times New Roman"/>
          <w:color w:val="000000"/>
          <w:sz w:val="24"/>
          <w:szCs w:val="24"/>
          <w:lang/>
        </w:rPr>
        <w:t xml:space="preserve">3,735,008,416 </w:t>
      </w:r>
      <w:r w:rsidR="00446677" w:rsidRPr="00FC3484">
        <w:rPr>
          <w:rFonts w:eastAsia="Times New Roman"/>
          <w:color w:val="000000"/>
          <w:sz w:val="24"/>
          <w:szCs w:val="24"/>
          <w:lang/>
        </w:rPr>
        <w:t xml:space="preserve">up from </w:t>
      </w:r>
      <w:r w:rsidR="00413B13">
        <w:rPr>
          <w:rFonts w:eastAsia="Times New Roman"/>
          <w:color w:val="000000"/>
          <w:sz w:val="24"/>
          <w:szCs w:val="24"/>
          <w:lang/>
        </w:rPr>
        <w:t>last year’s</w:t>
      </w:r>
      <w:r w:rsidR="00446677" w:rsidRPr="00FC3484">
        <w:rPr>
          <w:rFonts w:eastAsia="Times New Roman"/>
          <w:color w:val="000000"/>
          <w:sz w:val="24"/>
          <w:szCs w:val="24"/>
          <w:lang/>
        </w:rPr>
        <w:t xml:space="preserve"> level of $</w:t>
      </w:r>
      <w:r w:rsidR="00446677" w:rsidRPr="00FC3484">
        <w:rPr>
          <w:rFonts w:eastAsia="Times New Roman"/>
          <w:color w:val="000000"/>
          <w:sz w:val="24"/>
          <w:szCs w:val="24"/>
          <w:lang/>
        </w:rPr>
        <w:t>3,504,085,490</w:t>
      </w:r>
      <w:r w:rsidR="00446677" w:rsidRPr="00FC3484">
        <w:rPr>
          <w:rFonts w:eastAsia="Times New Roman"/>
          <w:color w:val="000000"/>
          <w:sz w:val="24"/>
          <w:szCs w:val="24"/>
          <w:lang/>
        </w:rPr>
        <w:t>.</w:t>
      </w:r>
    </w:p>
    <w:p w:rsidR="00F124C6" w:rsidRPr="00FC3484" w:rsidRDefault="00FC3484" w:rsidP="00FC3484">
      <w:pPr>
        <w:spacing w:line="360" w:lineRule="auto"/>
        <w:jc w:val="both"/>
        <w:rPr>
          <w:rFonts w:eastAsia="Times New Roman"/>
          <w:color w:val="000000"/>
          <w:sz w:val="24"/>
          <w:szCs w:val="24"/>
          <w:lang/>
        </w:rPr>
      </w:pPr>
      <w:r>
        <w:rPr>
          <w:rFonts w:eastAsia="Times New Roman"/>
          <w:color w:val="000000"/>
          <w:sz w:val="24"/>
          <w:szCs w:val="24"/>
          <w:lang/>
        </w:rPr>
        <w:t xml:space="preserve">     </w:t>
      </w:r>
      <w:r w:rsidR="00F124C6" w:rsidRPr="00FC3484">
        <w:rPr>
          <w:rFonts w:eastAsia="Times New Roman"/>
          <w:color w:val="000000"/>
          <w:sz w:val="24"/>
          <w:szCs w:val="24"/>
          <w:lang/>
        </w:rPr>
        <w:t xml:space="preserve">Active contributing members increased to 59,871 up by </w:t>
      </w:r>
      <w:r w:rsidRPr="00FC3484">
        <w:rPr>
          <w:rFonts w:eastAsia="Times New Roman"/>
          <w:color w:val="000000"/>
          <w:sz w:val="24"/>
          <w:szCs w:val="24"/>
          <w:lang/>
        </w:rPr>
        <w:t>5.8</w:t>
      </w:r>
      <w:r w:rsidR="00F124C6" w:rsidRPr="00FC3484">
        <w:rPr>
          <w:rFonts w:eastAsia="Times New Roman"/>
          <w:color w:val="000000"/>
          <w:sz w:val="24"/>
          <w:szCs w:val="24"/>
          <w:lang/>
        </w:rPr>
        <w:t xml:space="preserve">% on 2023 level of </w:t>
      </w:r>
      <w:r w:rsidRPr="00FC3484">
        <w:rPr>
          <w:rFonts w:eastAsia="Times New Roman"/>
          <w:color w:val="000000"/>
          <w:sz w:val="24"/>
          <w:szCs w:val="24"/>
          <w:lang/>
        </w:rPr>
        <w:t xml:space="preserve">56,606 members with a total contribution balance of $3,075,853,939. </w:t>
      </w:r>
    </w:p>
    <w:p w:rsidR="00F03DF9" w:rsidRDefault="00F03DF9" w:rsidP="000B4990">
      <w:pPr>
        <w:pStyle w:val="BodyText"/>
        <w:spacing w:line="360" w:lineRule="auto"/>
        <w:ind w:left="0"/>
        <w:jc w:val="left"/>
      </w:pPr>
    </w:p>
    <w:p w:rsidR="00F03DF9" w:rsidRDefault="00934F9B" w:rsidP="000B4990">
      <w:pPr>
        <w:pStyle w:val="Heading1"/>
        <w:spacing w:line="360" w:lineRule="auto"/>
      </w:pPr>
      <w:r>
        <w:t>C:</w:t>
      </w:r>
      <w:r>
        <w:rPr>
          <w:spacing w:val="-1"/>
        </w:rPr>
        <w:t xml:space="preserve"> </w:t>
      </w:r>
      <w:r w:rsidR="003F6E11">
        <w:rPr>
          <w:spacing w:val="-1"/>
        </w:rPr>
        <w:t xml:space="preserve">Formal </w:t>
      </w:r>
      <w:r>
        <w:t>Member</w:t>
      </w:r>
      <w:r>
        <w:rPr>
          <w:spacing w:val="-2"/>
        </w:rPr>
        <w:t xml:space="preserve"> </w:t>
      </w:r>
      <w:r>
        <w:t>Benefit</w:t>
      </w:r>
      <w:r>
        <w:rPr>
          <w:spacing w:val="-3"/>
        </w:rPr>
        <w:t xml:space="preserve"> </w:t>
      </w:r>
      <w:r>
        <w:rPr>
          <w:spacing w:val="-2"/>
        </w:rPr>
        <w:t>Payments</w:t>
      </w:r>
    </w:p>
    <w:p w:rsidR="00D922A3" w:rsidRDefault="00934F9B" w:rsidP="00D922A3">
      <w:pPr>
        <w:pStyle w:val="BodyText"/>
        <w:spacing w:line="360" w:lineRule="auto"/>
        <w:ind w:right="113" w:firstLine="336"/>
      </w:pPr>
      <w:r>
        <w:t>A total of 7,5</w:t>
      </w:r>
      <w:r w:rsidR="003F6E11">
        <w:t>54</w:t>
      </w:r>
      <w:r>
        <w:t xml:space="preserve"> benefits worth </w:t>
      </w:r>
      <w:r w:rsidR="003F6E11">
        <w:t xml:space="preserve">$342,152,533 </w:t>
      </w:r>
      <w:r>
        <w:t xml:space="preserve">were paid out to </w:t>
      </w:r>
      <w:r w:rsidR="003F6E11">
        <w:t xml:space="preserve">formal </w:t>
      </w:r>
      <w:r>
        <w:t>members during the year. This is a</w:t>
      </w:r>
      <w:r w:rsidR="003F6E11">
        <w:t xml:space="preserve"> reduction</w:t>
      </w:r>
      <w:r>
        <w:t xml:space="preserve"> both in number and value terms of </w:t>
      </w:r>
      <w:r w:rsidR="003F6E11">
        <w:t>7,575</w:t>
      </w:r>
      <w:r>
        <w:t xml:space="preserve"> benefits worth $</w:t>
      </w:r>
      <w:r w:rsidR="003F6E11">
        <w:t>366,591,244</w:t>
      </w:r>
      <w:r>
        <w:t xml:space="preserve"> recorded in the </w:t>
      </w:r>
      <w:r w:rsidR="003F6E11">
        <w:t>2023</w:t>
      </w:r>
      <w:r>
        <w:t>.</w:t>
      </w:r>
    </w:p>
    <w:p w:rsidR="00D922A3" w:rsidRPr="00D922A3" w:rsidRDefault="00D17701" w:rsidP="00D922A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34F9B" w:rsidRPr="00D922A3">
        <w:rPr>
          <w:sz w:val="24"/>
          <w:szCs w:val="24"/>
        </w:rPr>
        <w:t>The large bulk of the 202</w:t>
      </w:r>
      <w:r w:rsidR="003F6E11" w:rsidRPr="00D922A3">
        <w:rPr>
          <w:sz w:val="24"/>
          <w:szCs w:val="24"/>
        </w:rPr>
        <w:t>4</w:t>
      </w:r>
      <w:r w:rsidR="00934F9B" w:rsidRPr="00D922A3">
        <w:rPr>
          <w:sz w:val="24"/>
          <w:szCs w:val="24"/>
        </w:rPr>
        <w:t xml:space="preserve"> benefits payments were made to retiring members 50 years and above.</w:t>
      </w:r>
    </w:p>
    <w:p w:rsidR="00D922A3" w:rsidRDefault="00D922A3" w:rsidP="00D922A3">
      <w:pPr>
        <w:rPr>
          <w:b/>
          <w:bCs/>
        </w:rPr>
      </w:pPr>
    </w:p>
    <w:p w:rsidR="00D922A3" w:rsidRPr="00D922A3" w:rsidRDefault="00D922A3" w:rsidP="00D922A3">
      <w:pPr>
        <w:rPr>
          <w:b/>
          <w:bCs/>
          <w:sz w:val="24"/>
          <w:szCs w:val="24"/>
        </w:rPr>
      </w:pPr>
      <w:r w:rsidRPr="00D922A3">
        <w:rPr>
          <w:b/>
          <w:bCs/>
          <w:sz w:val="24"/>
          <w:szCs w:val="24"/>
        </w:rPr>
        <w:t>D</w:t>
      </w:r>
      <w:r w:rsidR="00B6029C">
        <w:rPr>
          <w:b/>
          <w:bCs/>
          <w:sz w:val="24"/>
          <w:szCs w:val="24"/>
        </w:rPr>
        <w:t>:</w:t>
      </w:r>
      <w:r w:rsidRPr="00D922A3">
        <w:rPr>
          <w:b/>
          <w:bCs/>
          <w:sz w:val="24"/>
          <w:szCs w:val="24"/>
        </w:rPr>
        <w:t xml:space="preserve"> E</w:t>
      </w:r>
      <w:r w:rsidR="00B6029C">
        <w:rPr>
          <w:b/>
          <w:bCs/>
          <w:sz w:val="24"/>
          <w:szCs w:val="24"/>
        </w:rPr>
        <w:t xml:space="preserve">mployers </w:t>
      </w:r>
    </w:p>
    <w:p w:rsidR="00D922A3" w:rsidRDefault="00D922A3" w:rsidP="00D922A3">
      <w:pPr>
        <w:rPr>
          <w:b/>
          <w:bCs/>
        </w:rPr>
      </w:pPr>
    </w:p>
    <w:p w:rsidR="00F03DF9" w:rsidRPr="00D17701" w:rsidRDefault="00413B13" w:rsidP="00D17701">
      <w:pPr>
        <w:spacing w:line="360" w:lineRule="auto"/>
        <w:rPr>
          <w:sz w:val="24"/>
          <w:szCs w:val="24"/>
        </w:rPr>
      </w:pPr>
      <w:r w:rsidRPr="00D17701">
        <w:rPr>
          <w:sz w:val="24"/>
          <w:szCs w:val="24"/>
        </w:rPr>
        <w:t>In terms of employers, n</w:t>
      </w:r>
      <w:r w:rsidR="00934F9B" w:rsidRPr="00D17701">
        <w:rPr>
          <w:sz w:val="24"/>
          <w:szCs w:val="24"/>
        </w:rPr>
        <w:t xml:space="preserve">ew employers registered during the year improved to </w:t>
      </w:r>
      <w:r w:rsidR="00D02940" w:rsidRPr="00D17701">
        <w:rPr>
          <w:sz w:val="24"/>
          <w:szCs w:val="24"/>
        </w:rPr>
        <w:t>1</w:t>
      </w:r>
      <w:r w:rsidR="00E0201D" w:rsidRPr="00D17701">
        <w:rPr>
          <w:sz w:val="24"/>
          <w:szCs w:val="24"/>
        </w:rPr>
        <w:t xml:space="preserve">92 </w:t>
      </w:r>
      <w:r w:rsidR="00934F9B" w:rsidRPr="00D17701">
        <w:rPr>
          <w:sz w:val="24"/>
          <w:szCs w:val="24"/>
        </w:rPr>
        <w:t>up from the previous year</w:t>
      </w:r>
      <w:r w:rsidR="00934F9B" w:rsidRPr="00D17701">
        <w:rPr>
          <w:spacing w:val="-5"/>
          <w:sz w:val="24"/>
          <w:szCs w:val="24"/>
        </w:rPr>
        <w:t xml:space="preserve"> </w:t>
      </w:r>
      <w:r w:rsidR="00934F9B" w:rsidRPr="00D17701">
        <w:rPr>
          <w:sz w:val="24"/>
          <w:szCs w:val="24"/>
        </w:rPr>
        <w:t>level</w:t>
      </w:r>
      <w:r w:rsidR="00934F9B" w:rsidRPr="00D17701">
        <w:rPr>
          <w:spacing w:val="-5"/>
          <w:sz w:val="24"/>
          <w:szCs w:val="24"/>
        </w:rPr>
        <w:t xml:space="preserve"> </w:t>
      </w:r>
      <w:r w:rsidR="00934F9B" w:rsidRPr="00D17701">
        <w:rPr>
          <w:sz w:val="24"/>
          <w:szCs w:val="24"/>
        </w:rPr>
        <w:t>of</w:t>
      </w:r>
      <w:r w:rsidR="00934F9B" w:rsidRPr="00D17701">
        <w:rPr>
          <w:spacing w:val="-2"/>
          <w:sz w:val="24"/>
          <w:szCs w:val="24"/>
        </w:rPr>
        <w:t xml:space="preserve"> </w:t>
      </w:r>
      <w:r w:rsidR="00D02940" w:rsidRPr="00D17701">
        <w:rPr>
          <w:sz w:val="24"/>
          <w:szCs w:val="24"/>
        </w:rPr>
        <w:t>172</w:t>
      </w:r>
      <w:r w:rsidR="00FA56C2" w:rsidRPr="00D17701">
        <w:rPr>
          <w:sz w:val="24"/>
          <w:szCs w:val="24"/>
        </w:rPr>
        <w:t xml:space="preserve">. This is consistent with the recovery and growth of our economy </w:t>
      </w:r>
      <w:r w:rsidR="00D02940" w:rsidRPr="00D17701">
        <w:rPr>
          <w:spacing w:val="-4"/>
          <w:sz w:val="24"/>
          <w:szCs w:val="24"/>
        </w:rPr>
        <w:t>over the past two years.</w:t>
      </w:r>
    </w:p>
    <w:p w:rsidR="00521FB0" w:rsidRDefault="00521FB0" w:rsidP="00521FB0">
      <w:pPr>
        <w:pStyle w:val="Heading1"/>
        <w:spacing w:line="360" w:lineRule="auto"/>
        <w:ind w:left="0"/>
        <w:jc w:val="left"/>
        <w:rPr>
          <w:b w:val="0"/>
          <w:bCs w:val="0"/>
        </w:rPr>
      </w:pPr>
    </w:p>
    <w:p w:rsidR="0004211C" w:rsidRPr="0004211C" w:rsidRDefault="00934F9B" w:rsidP="00521FB0">
      <w:pPr>
        <w:pStyle w:val="Heading1"/>
        <w:spacing w:line="360" w:lineRule="auto"/>
        <w:ind w:left="0"/>
        <w:jc w:val="left"/>
        <w:rPr>
          <w:spacing w:val="-2"/>
        </w:rPr>
      </w:pPr>
      <w:r>
        <w:t>E: The</w:t>
      </w:r>
      <w:r>
        <w:rPr>
          <w:spacing w:val="-3"/>
        </w:rPr>
        <w:t xml:space="preserve"> </w:t>
      </w:r>
      <w:r>
        <w:t>informal</w:t>
      </w:r>
      <w:r>
        <w:rPr>
          <w:spacing w:val="-4"/>
        </w:rPr>
        <w:t xml:space="preserve"> </w:t>
      </w:r>
      <w:r>
        <w:t>sector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2"/>
        </w:rPr>
        <w:t>youSave</w:t>
      </w:r>
    </w:p>
    <w:p w:rsidR="0004211C" w:rsidRDefault="0004211C" w:rsidP="000B4990">
      <w:pPr>
        <w:pStyle w:val="Heading1"/>
        <w:spacing w:line="360" w:lineRule="auto"/>
        <w:jc w:val="left"/>
        <w:rPr>
          <w:b w:val="0"/>
        </w:rPr>
      </w:pPr>
      <w:r>
        <w:t xml:space="preserve">     </w:t>
      </w:r>
      <w:r w:rsidRPr="0004211C">
        <w:rPr>
          <w:b w:val="0"/>
        </w:rPr>
        <w:t xml:space="preserve">6,132 new </w:t>
      </w:r>
      <w:r>
        <w:rPr>
          <w:b w:val="0"/>
        </w:rPr>
        <w:t>youSave</w:t>
      </w:r>
      <w:r w:rsidRPr="0004211C">
        <w:rPr>
          <w:b w:val="0"/>
        </w:rPr>
        <w:t xml:space="preserve"> </w:t>
      </w:r>
      <w:r>
        <w:rPr>
          <w:b w:val="0"/>
        </w:rPr>
        <w:t xml:space="preserve">members were onboarded in the year, up from the previous year level of 4,617 new members.  This almost matches </w:t>
      </w:r>
      <w:r w:rsidR="00094C0A">
        <w:rPr>
          <w:b w:val="0"/>
        </w:rPr>
        <w:t xml:space="preserve">the formal sector onboarding of new membership reported earlier above. </w:t>
      </w:r>
    </w:p>
    <w:p w:rsidR="00F03DF9" w:rsidRDefault="00934F9B" w:rsidP="000E38B4">
      <w:pPr>
        <w:pStyle w:val="BodyText"/>
        <w:spacing w:line="360" w:lineRule="auto"/>
        <w:ind w:firstLine="336"/>
        <w:jc w:val="left"/>
      </w:pPr>
      <w:r>
        <w:t>As at 30 June 202</w:t>
      </w:r>
      <w:r w:rsidR="00196421">
        <w:t>4</w:t>
      </w:r>
      <w:r>
        <w:t xml:space="preserve"> total youSave membership </w:t>
      </w:r>
      <w:r w:rsidR="003C2D15">
        <w:t>increased to</w:t>
      </w:r>
      <w:r>
        <w:t xml:space="preserve"> </w:t>
      </w:r>
      <w:r w:rsidR="000E38B4">
        <w:t>43,768</w:t>
      </w:r>
      <w:r>
        <w:t xml:space="preserve"> members up from</w:t>
      </w:r>
      <w:r>
        <w:rPr>
          <w:spacing w:val="3"/>
        </w:rPr>
        <w:t xml:space="preserve"> </w:t>
      </w:r>
      <w:r w:rsidR="000E38B4">
        <w:rPr>
          <w:spacing w:val="3"/>
        </w:rPr>
        <w:t xml:space="preserve">37,645 </w:t>
      </w:r>
      <w:r>
        <w:t>members</w:t>
      </w:r>
      <w:r>
        <w:rPr>
          <w:spacing w:val="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202</w:t>
      </w:r>
      <w:r w:rsidR="000E38B4">
        <w:t>3</w:t>
      </w:r>
      <w:r w:rsidR="003C2D15">
        <w:t xml:space="preserve">. </w:t>
      </w:r>
      <w:r w:rsidR="000E38B4">
        <w:t xml:space="preserve"> </w:t>
      </w:r>
      <w:r w:rsidR="003C2D15">
        <w:t>In 2024 g</w:t>
      </w:r>
      <w:r>
        <w:t>ross</w:t>
      </w:r>
      <w:r>
        <w:rPr>
          <w:spacing w:val="5"/>
        </w:rPr>
        <w:t xml:space="preserve"> </w:t>
      </w:r>
      <w:r>
        <w:t>savings</w:t>
      </w:r>
      <w:r>
        <w:rPr>
          <w:spacing w:val="4"/>
        </w:rPr>
        <w:t xml:space="preserve"> </w:t>
      </w:r>
      <w:r w:rsidR="003C2D15">
        <w:t>reached</w:t>
      </w:r>
      <w:r w:rsidR="006F5741">
        <w:rPr>
          <w:spacing w:val="5"/>
        </w:rPr>
        <w:t xml:space="preserve"> </w:t>
      </w:r>
      <w:r w:rsidR="00BF09EB">
        <w:rPr>
          <w:spacing w:val="5"/>
        </w:rPr>
        <w:t>$88,043,796</w:t>
      </w:r>
      <w:r>
        <w:rPr>
          <w:spacing w:val="3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net</w:t>
      </w:r>
      <w:r>
        <w:rPr>
          <w:spacing w:val="5"/>
        </w:rPr>
        <w:t xml:space="preserve"> </w:t>
      </w:r>
      <w:r>
        <w:t>savings</w:t>
      </w:r>
      <w:r>
        <w:rPr>
          <w:spacing w:val="5"/>
        </w:rPr>
        <w:t xml:space="preserve"> </w:t>
      </w:r>
      <w:r>
        <w:rPr>
          <w:spacing w:val="-5"/>
        </w:rPr>
        <w:t>of</w:t>
      </w:r>
      <w:r w:rsidR="000E38B4">
        <w:t xml:space="preserve"> </w:t>
      </w:r>
      <w:r>
        <w:t>$</w:t>
      </w:r>
      <w:r w:rsidR="00BF09EB" w:rsidRPr="00BF09EB">
        <w:t>42,948,212</w:t>
      </w:r>
      <w:r>
        <w:t xml:space="preserve"> </w:t>
      </w:r>
      <w:r w:rsidR="003C2D15">
        <w:t xml:space="preserve">up on previous year levels </w:t>
      </w:r>
      <w:r w:rsidR="00BF09EB">
        <w:t>by 27% and 28% respectively</w:t>
      </w:r>
      <w:r>
        <w:t>.</w:t>
      </w:r>
      <w:r>
        <w:rPr>
          <w:spacing w:val="80"/>
        </w:rPr>
        <w:t xml:space="preserve"> </w:t>
      </w:r>
    </w:p>
    <w:p w:rsidR="00F03DF9" w:rsidRDefault="00934F9B" w:rsidP="00D17701">
      <w:pPr>
        <w:pStyle w:val="BodyText"/>
        <w:spacing w:line="360" w:lineRule="auto"/>
        <w:ind w:left="119" w:firstLine="335"/>
        <w:jc w:val="left"/>
      </w:pPr>
      <w:r>
        <w:t xml:space="preserve">Incoming new contributions for the informal sector </w:t>
      </w:r>
      <w:r w:rsidR="0006728C">
        <w:t>fell</w:t>
      </w:r>
      <w:r>
        <w:t xml:space="preserve"> </w:t>
      </w:r>
      <w:r w:rsidR="0006728C">
        <w:t xml:space="preserve">to </w:t>
      </w:r>
      <w:r w:rsidR="008709E6">
        <w:t>$18,514,303</w:t>
      </w:r>
      <w:r>
        <w:t xml:space="preserve"> </w:t>
      </w:r>
      <w:r w:rsidR="003D42DA">
        <w:t xml:space="preserve">down </w:t>
      </w:r>
      <w:r>
        <w:t>from</w:t>
      </w:r>
      <w:r w:rsidR="002F2E16">
        <w:t xml:space="preserve"> </w:t>
      </w:r>
      <w:r w:rsidR="002F2E16">
        <w:lastRenderedPageBreak/>
        <w:t xml:space="preserve">last </w:t>
      </w:r>
      <w:r w:rsidR="003D42DA">
        <w:t>y</w:t>
      </w:r>
      <w:r>
        <w:t>ear</w:t>
      </w:r>
      <w:r w:rsidR="002F2E16">
        <w:t>’s</w:t>
      </w:r>
      <w:r>
        <w:t xml:space="preserve"> </w:t>
      </w:r>
      <w:r w:rsidR="008709E6">
        <w:t>high of</w:t>
      </w:r>
      <w:r>
        <w:t xml:space="preserve"> $30</w:t>
      </w:r>
      <w:r w:rsidR="008709E6">
        <w:t>,246,811</w:t>
      </w:r>
      <w:r>
        <w:t>.</w:t>
      </w:r>
    </w:p>
    <w:p w:rsidR="00D17701" w:rsidRDefault="008709E6" w:rsidP="00D17701">
      <w:pPr>
        <w:pStyle w:val="BodyText"/>
        <w:spacing w:line="360" w:lineRule="auto"/>
        <w:ind w:left="119" w:firstLine="335"/>
        <w:jc w:val="left"/>
      </w:pPr>
      <w:r>
        <w:t>9,508</w:t>
      </w:r>
      <w:r w:rsidR="00934F9B">
        <w:t xml:space="preserve"> benefits </w:t>
      </w:r>
      <w:r w:rsidR="00C80F5D">
        <w:t xml:space="preserve">worth $10,619,938 </w:t>
      </w:r>
      <w:r w:rsidR="00934F9B">
        <w:t>were paid out to youSave members</w:t>
      </w:r>
      <w:r w:rsidR="00C80F5D">
        <w:t xml:space="preserve"> in the year. </w:t>
      </w:r>
      <w:r w:rsidR="00D17701">
        <w:t xml:space="preserve">   </w:t>
      </w:r>
    </w:p>
    <w:p w:rsidR="00F03DF9" w:rsidRDefault="00D17701" w:rsidP="00D17701">
      <w:pPr>
        <w:pStyle w:val="BodyText"/>
        <w:spacing w:line="360" w:lineRule="auto"/>
        <w:ind w:left="119" w:firstLine="335"/>
        <w:jc w:val="left"/>
      </w:pPr>
      <w:r>
        <w:t>T</w:t>
      </w:r>
      <w:r w:rsidR="00C80F5D">
        <w:t>hough the number of benefit payments</w:t>
      </w:r>
      <w:r w:rsidR="00934F9B">
        <w:t xml:space="preserve"> </w:t>
      </w:r>
      <w:r w:rsidR="002F2E16">
        <w:t xml:space="preserve">increased </w:t>
      </w:r>
      <w:r w:rsidR="00C80F5D">
        <w:t xml:space="preserve">from </w:t>
      </w:r>
      <w:r w:rsidR="003D42DA">
        <w:t>last</w:t>
      </w:r>
      <w:r w:rsidR="00C80F5D">
        <w:t xml:space="preserve"> year</w:t>
      </w:r>
      <w:r w:rsidR="003D42DA">
        <w:t>’s</w:t>
      </w:r>
      <w:r w:rsidR="00C80F5D">
        <w:t xml:space="preserve"> 8,667,</w:t>
      </w:r>
      <w:r w:rsidR="00934F9B">
        <w:t xml:space="preserve"> </w:t>
      </w:r>
      <w:r w:rsidR="00C80F5D">
        <w:t>t</w:t>
      </w:r>
      <w:r w:rsidR="008709E6">
        <w:t xml:space="preserve">he </w:t>
      </w:r>
      <w:r w:rsidR="003D42DA">
        <w:t>value</w:t>
      </w:r>
      <w:r w:rsidR="008709E6">
        <w:t xml:space="preserve"> of </w:t>
      </w:r>
      <w:r w:rsidR="00BF09EB">
        <w:t xml:space="preserve">the </w:t>
      </w:r>
      <w:r w:rsidR="008709E6">
        <w:t>benefit</w:t>
      </w:r>
      <w:r w:rsidR="00BF09EB">
        <w:t>s</w:t>
      </w:r>
      <w:r w:rsidR="008709E6">
        <w:t xml:space="preserve"> declined from last year’s benefit payment of </w:t>
      </w:r>
      <w:r w:rsidR="002F2E16">
        <w:t>$24,036,079</w:t>
      </w:r>
      <w:r w:rsidR="003D42DA">
        <w:t>.</w:t>
      </w:r>
    </w:p>
    <w:p w:rsidR="003D42DA" w:rsidRDefault="003D42DA" w:rsidP="00D17701">
      <w:pPr>
        <w:pStyle w:val="BodyText"/>
        <w:spacing w:line="360" w:lineRule="auto"/>
        <w:ind w:left="119" w:firstLine="335"/>
        <w:jc w:val="left"/>
      </w:pPr>
    </w:p>
    <w:p w:rsidR="003D42DA" w:rsidRDefault="00934F9B" w:rsidP="001C3245">
      <w:pPr>
        <w:pStyle w:val="Heading1"/>
        <w:spacing w:line="360" w:lineRule="auto"/>
      </w:pPr>
      <w:r>
        <w:t>F: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Fund’s</w:t>
      </w:r>
      <w:r>
        <w:rPr>
          <w:spacing w:val="-4"/>
        </w:rPr>
        <w:t xml:space="preserve"> </w:t>
      </w:r>
      <w:r>
        <w:t>Liquidity</w:t>
      </w:r>
      <w:r>
        <w:rPr>
          <w:spacing w:val="-7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withdrawals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rPr>
          <w:spacing w:val="-2"/>
        </w:rPr>
        <w:t>Investments</w:t>
      </w:r>
    </w:p>
    <w:p w:rsidR="00F03DF9" w:rsidRDefault="001C3245" w:rsidP="00C630F8">
      <w:pPr>
        <w:pStyle w:val="BodyText"/>
        <w:spacing w:line="360" w:lineRule="auto"/>
        <w:ind w:right="115" w:firstLine="336"/>
      </w:pPr>
      <w:r>
        <w:t>The formal sector</w:t>
      </w:r>
      <w:r w:rsidR="003D42DA">
        <w:rPr>
          <w:spacing w:val="-7"/>
        </w:rPr>
        <w:t xml:space="preserve"> </w:t>
      </w:r>
      <w:r w:rsidR="003D42DA">
        <w:t>net</w:t>
      </w:r>
      <w:r w:rsidR="003D42DA">
        <w:rPr>
          <w:spacing w:val="-6"/>
        </w:rPr>
        <w:t xml:space="preserve"> </w:t>
      </w:r>
      <w:r w:rsidR="003D42DA">
        <w:t>contribution</w:t>
      </w:r>
      <w:r w:rsidR="003D42DA">
        <w:rPr>
          <w:spacing w:val="-7"/>
        </w:rPr>
        <w:t xml:space="preserve"> </w:t>
      </w:r>
      <w:r w:rsidR="003D42DA">
        <w:t>of</w:t>
      </w:r>
      <w:r w:rsidR="003D42DA">
        <w:rPr>
          <w:spacing w:val="-6"/>
        </w:rPr>
        <w:t xml:space="preserve"> </w:t>
      </w:r>
      <w:r w:rsidR="003D42DA">
        <w:t>$39,837,648</w:t>
      </w:r>
      <w:r w:rsidR="003D42DA">
        <w:rPr>
          <w:spacing w:val="-5"/>
        </w:rPr>
        <w:t xml:space="preserve"> </w:t>
      </w:r>
      <w:r w:rsidR="003D42DA">
        <w:t>was</w:t>
      </w:r>
      <w:r w:rsidR="003D42DA">
        <w:rPr>
          <w:spacing w:val="-6"/>
        </w:rPr>
        <w:t xml:space="preserve"> </w:t>
      </w:r>
      <w:r w:rsidR="003D42DA">
        <w:t>recorded</w:t>
      </w:r>
      <w:r w:rsidR="003D42DA">
        <w:rPr>
          <w:spacing w:val="-7"/>
        </w:rPr>
        <w:t xml:space="preserve"> </w:t>
      </w:r>
      <w:r w:rsidR="003D42DA">
        <w:t>between</w:t>
      </w:r>
      <w:r w:rsidR="003D42DA">
        <w:rPr>
          <w:spacing w:val="-5"/>
        </w:rPr>
        <w:t xml:space="preserve"> </w:t>
      </w:r>
      <w:r w:rsidR="003D42DA">
        <w:t>incoming</w:t>
      </w:r>
      <w:r w:rsidR="003D42DA">
        <w:rPr>
          <w:spacing w:val="-7"/>
        </w:rPr>
        <w:t xml:space="preserve"> </w:t>
      </w:r>
      <w:r w:rsidR="003D42DA">
        <w:t>contributions</w:t>
      </w:r>
      <w:r w:rsidR="003D42DA">
        <w:rPr>
          <w:spacing w:val="-6"/>
        </w:rPr>
        <w:t xml:space="preserve"> </w:t>
      </w:r>
      <w:r w:rsidR="00CF6FE7">
        <w:t>and outgoing</w:t>
      </w:r>
      <w:r w:rsidR="003D42DA">
        <w:t xml:space="preserve"> member withdrawals for the year.  </w:t>
      </w:r>
      <w:r w:rsidR="00CF6FE7">
        <w:t>The positive net contrib</w:t>
      </w:r>
      <w:r w:rsidR="00BF09EB">
        <w:t>u</w:t>
      </w:r>
      <w:r w:rsidR="00CF6FE7">
        <w:t>tions</w:t>
      </w:r>
      <w:r w:rsidR="003D42DA">
        <w:t xml:space="preserve"> </w:t>
      </w:r>
      <w:proofErr w:type="gramStart"/>
      <w:r w:rsidR="003D42DA">
        <w:t>is</w:t>
      </w:r>
      <w:proofErr w:type="gramEnd"/>
      <w:r w:rsidR="003D42DA">
        <w:t xml:space="preserve"> down from the previous 2023 financial year net contribution of $42,404,549</w:t>
      </w:r>
      <w:r>
        <w:t>. Whilst in the informal sector a net contribution of $7,903,364 was achieved, up from 2023 level of $6,210,732.</w:t>
      </w:r>
    </w:p>
    <w:p w:rsidR="00F03DF9" w:rsidRDefault="00934F9B" w:rsidP="000B4990">
      <w:pPr>
        <w:pStyle w:val="BodyText"/>
        <w:spacing w:line="360" w:lineRule="auto"/>
        <w:ind w:right="113" w:firstLine="333"/>
      </w:pPr>
      <w:r>
        <w:t xml:space="preserve">This means that all member benefits </w:t>
      </w:r>
      <w:r w:rsidR="00C630F8">
        <w:t xml:space="preserve">for the two sectors </w:t>
      </w:r>
      <w:r>
        <w:t>are financed from incoming contribution whilst funds from investment activities are used to finance new investments and meet board costs.</w:t>
      </w:r>
    </w:p>
    <w:p w:rsidR="00913A3C" w:rsidRDefault="00934F9B" w:rsidP="00913A3C">
      <w:pPr>
        <w:pStyle w:val="BodyText"/>
        <w:spacing w:line="360" w:lineRule="auto"/>
        <w:ind w:right="113" w:firstLine="333"/>
      </w:pPr>
      <w:r>
        <w:t>The</w:t>
      </w:r>
      <w:r>
        <w:rPr>
          <w:spacing w:val="-1"/>
        </w:rPr>
        <w:t xml:space="preserve"> </w:t>
      </w:r>
      <w:r>
        <w:t>overall cash</w:t>
      </w:r>
      <w:r>
        <w:rPr>
          <w:spacing w:val="-1"/>
        </w:rPr>
        <w:t xml:space="preserve"> </w:t>
      </w:r>
      <w:r>
        <w:t>and cash</w:t>
      </w:r>
      <w:r>
        <w:rPr>
          <w:spacing w:val="-1"/>
        </w:rPr>
        <w:t xml:space="preserve"> </w:t>
      </w:r>
      <w:r>
        <w:t>equivalents settled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$2</w:t>
      </w:r>
      <w:r w:rsidR="00B03C13">
        <w:t>13,740,866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 w:rsidR="00B03C13">
        <w:t>the year, up</w:t>
      </w:r>
      <w:r>
        <w:t xml:space="preserve"> from $2</w:t>
      </w:r>
      <w:r w:rsidR="00B03C13">
        <w:t>05,736,131</w:t>
      </w:r>
      <w:r>
        <w:t xml:space="preserve"> recorded in 202</w:t>
      </w:r>
      <w:r w:rsidR="00B03C13">
        <w:t>3</w:t>
      </w:r>
      <w:r>
        <w:t xml:space="preserve">. </w:t>
      </w:r>
      <w:r w:rsidR="00B03C13">
        <w:t xml:space="preserve"> Th</w:t>
      </w:r>
      <w:r w:rsidR="00BF09EB">
        <w:t>e</w:t>
      </w:r>
      <w:r w:rsidR="00CF6FE7">
        <w:t>s</w:t>
      </w:r>
      <w:r w:rsidR="00BF09EB">
        <w:t>e</w:t>
      </w:r>
      <w:r w:rsidR="00B03C13">
        <w:t xml:space="preserve"> free cash are earmarked for potential new investments that are currently being investigated and assessed for Board and Minister of Finance consideration.</w:t>
      </w:r>
    </w:p>
    <w:p w:rsidR="00913A3C" w:rsidRDefault="00913A3C" w:rsidP="00913A3C">
      <w:pPr>
        <w:pStyle w:val="BodyText"/>
        <w:spacing w:line="360" w:lineRule="auto"/>
        <w:ind w:right="113" w:firstLine="333"/>
      </w:pPr>
    </w:p>
    <w:p w:rsidR="00F03DF9" w:rsidRDefault="00934F9B" w:rsidP="000B4990">
      <w:pPr>
        <w:pStyle w:val="Heading1"/>
        <w:spacing w:line="360" w:lineRule="auto"/>
      </w:pPr>
      <w:r>
        <w:t xml:space="preserve">G: New </w:t>
      </w:r>
      <w:r>
        <w:rPr>
          <w:spacing w:val="-2"/>
        </w:rPr>
        <w:t>Investments</w:t>
      </w:r>
    </w:p>
    <w:p w:rsidR="00F92DDE" w:rsidRDefault="00F92DDE" w:rsidP="00D17701">
      <w:pPr>
        <w:pStyle w:val="BodyText"/>
        <w:spacing w:line="360" w:lineRule="auto"/>
        <w:ind w:left="0" w:right="113"/>
      </w:pPr>
      <w:r>
        <w:t>During the financial year, the Board placed additional $10m in term deposit as part of its strategy to upscale Solomon Finance Limited to grow it loan book portfolio serving our members.</w:t>
      </w:r>
    </w:p>
    <w:p w:rsidR="00F92DDE" w:rsidRDefault="00F92DDE" w:rsidP="00436D29">
      <w:pPr>
        <w:pStyle w:val="BodyText"/>
        <w:spacing w:line="360" w:lineRule="auto"/>
        <w:ind w:right="113" w:firstLine="333"/>
      </w:pPr>
      <w:r>
        <w:t xml:space="preserve">The Board with guarantee from the SIG, </w:t>
      </w:r>
      <w:r w:rsidR="00293A58">
        <w:t xml:space="preserve">also </w:t>
      </w:r>
      <w:r>
        <w:t>placed a $10 million term deposit with the Development Bank of Solomon Islands to support its developmental plans supporting the SME and its clients.</w:t>
      </w:r>
    </w:p>
    <w:p w:rsidR="00F92DDE" w:rsidRDefault="00F92DDE" w:rsidP="00436D29">
      <w:pPr>
        <w:pStyle w:val="BodyText"/>
        <w:spacing w:line="360" w:lineRule="auto"/>
        <w:ind w:right="113" w:firstLine="333"/>
      </w:pPr>
      <w:r>
        <w:t>The Board approved and funded Solomon Airlines Limited</w:t>
      </w:r>
      <w:r w:rsidR="00293A58">
        <w:t>’s</w:t>
      </w:r>
      <w:r>
        <w:t xml:space="preserve"> new A320 Airbus</w:t>
      </w:r>
      <w:r w:rsidR="00293A58">
        <w:t xml:space="preserve"> lease</w:t>
      </w:r>
      <w:r>
        <w:t xml:space="preserve"> for $25 million to support our tourism sector and priced the loan at 6.25%.</w:t>
      </w:r>
    </w:p>
    <w:p w:rsidR="00F92DDE" w:rsidRDefault="00F92DDE" w:rsidP="00436D29">
      <w:pPr>
        <w:pStyle w:val="BodyText"/>
        <w:spacing w:line="360" w:lineRule="auto"/>
        <w:ind w:right="113" w:firstLine="333"/>
      </w:pPr>
      <w:r>
        <w:t>The Board also approved and invested approximately $130m</w:t>
      </w:r>
      <w:r w:rsidR="00293A58">
        <w:t xml:space="preserve"> </w:t>
      </w:r>
      <w:r w:rsidR="008A6AFE">
        <w:t xml:space="preserve">in the </w:t>
      </w:r>
      <w:r w:rsidR="00293A58">
        <w:t>safe and secured SIG Bonds</w:t>
      </w:r>
      <w:r>
        <w:t xml:space="preserve"> </w:t>
      </w:r>
      <w:r w:rsidR="008A6AFE">
        <w:t>through</w:t>
      </w:r>
      <w:r>
        <w:t xml:space="preserve"> a mix of discounted and par bond</w:t>
      </w:r>
      <w:r w:rsidR="00CD0B52">
        <w:t>s</w:t>
      </w:r>
      <w:r w:rsidR="00293A58">
        <w:t xml:space="preserve"> with annualized return of </w:t>
      </w:r>
      <w:r w:rsidR="00CD0B52">
        <w:t>4.95%.</w:t>
      </w:r>
    </w:p>
    <w:p w:rsidR="00F92DDE" w:rsidRDefault="00F92DDE" w:rsidP="00436D29">
      <w:pPr>
        <w:pStyle w:val="BodyText"/>
        <w:spacing w:line="360" w:lineRule="auto"/>
        <w:ind w:right="113" w:firstLine="333"/>
      </w:pPr>
      <w:r>
        <w:t>The Board approved deployed new and reallocated part of its international portfolio in various asset class</w:t>
      </w:r>
      <w:r w:rsidR="006A2A41">
        <w:t xml:space="preserve"> including:</w:t>
      </w:r>
    </w:p>
    <w:p w:rsidR="00F92DDE" w:rsidRDefault="00F92DDE" w:rsidP="00436D29">
      <w:pPr>
        <w:pStyle w:val="BodyText"/>
        <w:numPr>
          <w:ilvl w:val="0"/>
          <w:numId w:val="3"/>
        </w:numPr>
        <w:spacing w:line="360" w:lineRule="auto"/>
        <w:jc w:val="left"/>
      </w:pPr>
      <w:r>
        <w:t xml:space="preserve">Reallocation of GBP cash into USD term deposit for US$1.4m taking </w:t>
      </w:r>
      <w:r>
        <w:lastRenderedPageBreak/>
        <w:t>advantage of offshore interest rate of 4.95%</w:t>
      </w:r>
    </w:p>
    <w:p w:rsidR="00F92DDE" w:rsidRDefault="00F92DDE" w:rsidP="00436D29">
      <w:pPr>
        <w:pStyle w:val="BodyText"/>
        <w:numPr>
          <w:ilvl w:val="0"/>
          <w:numId w:val="3"/>
        </w:numPr>
        <w:spacing w:line="360" w:lineRule="auto"/>
        <w:jc w:val="left"/>
      </w:pPr>
      <w:r>
        <w:t>Placement of new term deposit of AUD509,000 for 4.40% converted from the Fund’s call account</w:t>
      </w:r>
    </w:p>
    <w:p w:rsidR="00F92DDE" w:rsidRDefault="00F92DDE" w:rsidP="00436D29">
      <w:pPr>
        <w:pStyle w:val="BodyText"/>
        <w:numPr>
          <w:ilvl w:val="0"/>
          <w:numId w:val="3"/>
        </w:numPr>
        <w:spacing w:line="360" w:lineRule="auto"/>
        <w:jc w:val="left"/>
      </w:pPr>
      <w:r>
        <w:t xml:space="preserve">In the PNG market with the </w:t>
      </w:r>
      <w:r w:rsidR="006A2A41">
        <w:t>excellent</w:t>
      </w:r>
      <w:r>
        <w:t xml:space="preserve"> performance from BSP Financial Group, the Board approved new investment under the Fund’s Fixed Income asset class purchasing PNG Treasury Bills for total of PGK8.077m invested for 364days for </w:t>
      </w:r>
      <w:proofErr w:type="spellStart"/>
      <w:r>
        <w:t>a</w:t>
      </w:r>
      <w:proofErr w:type="spellEnd"/>
      <w:r>
        <w:t xml:space="preserve"> average of 3.78%. </w:t>
      </w:r>
    </w:p>
    <w:p w:rsidR="00F92DDE" w:rsidRDefault="00F92DDE" w:rsidP="00436D29">
      <w:pPr>
        <w:pStyle w:val="BodyText"/>
        <w:spacing w:line="360" w:lineRule="auto"/>
        <w:ind w:left="840"/>
        <w:jc w:val="left"/>
      </w:pPr>
      <w:r>
        <w:t xml:space="preserve">In addition, the Board further approved investment of PGK9.9 million in PNG Government Inscribed Stock (Bonds) at </w:t>
      </w:r>
      <w:proofErr w:type="spellStart"/>
      <w:proofErr w:type="gramStart"/>
      <w:r>
        <w:t>a</w:t>
      </w:r>
      <w:proofErr w:type="spellEnd"/>
      <w:proofErr w:type="gramEnd"/>
      <w:r>
        <w:t xml:space="preserve"> average coupon rate of 4.60%. </w:t>
      </w:r>
    </w:p>
    <w:p w:rsidR="00F92DDE" w:rsidRDefault="00F92DDE" w:rsidP="00436D29"/>
    <w:p w:rsidR="00F03DF9" w:rsidRDefault="00934F9B" w:rsidP="000B4990">
      <w:pPr>
        <w:pStyle w:val="Heading1"/>
        <w:spacing w:line="360" w:lineRule="auto"/>
      </w:pPr>
      <w:r>
        <w:t>H: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Fund’s</w:t>
      </w:r>
      <w:r>
        <w:rPr>
          <w:spacing w:val="-3"/>
        </w:rPr>
        <w:t xml:space="preserve"> </w:t>
      </w:r>
      <w:r>
        <w:t>Asset</w:t>
      </w:r>
      <w:r>
        <w:rPr>
          <w:spacing w:val="-1"/>
        </w:rPr>
        <w:t xml:space="preserve"> </w:t>
      </w:r>
      <w:r>
        <w:rPr>
          <w:spacing w:val="-2"/>
        </w:rPr>
        <w:t>Value</w:t>
      </w:r>
    </w:p>
    <w:p w:rsidR="00D17701" w:rsidRDefault="00934F9B" w:rsidP="00D17701">
      <w:pPr>
        <w:pStyle w:val="BodyText"/>
        <w:spacing w:line="360" w:lineRule="auto"/>
        <w:ind w:right="116" w:firstLine="333"/>
      </w:pPr>
      <w:r>
        <w:t>The</w:t>
      </w:r>
      <w:r>
        <w:rPr>
          <w:spacing w:val="-3"/>
        </w:rPr>
        <w:t xml:space="preserve"> </w:t>
      </w:r>
      <w:r>
        <w:t>fund’s</w:t>
      </w:r>
      <w:r>
        <w:rPr>
          <w:spacing w:val="-2"/>
        </w:rPr>
        <w:t xml:space="preserve"> </w:t>
      </w:r>
      <w:r w:rsidR="002C48A0">
        <w:rPr>
          <w:spacing w:val="-2"/>
        </w:rPr>
        <w:t xml:space="preserve">unaudited </w:t>
      </w:r>
      <w:r>
        <w:t>net</w:t>
      </w:r>
      <w:r>
        <w:rPr>
          <w:spacing w:val="-1"/>
        </w:rPr>
        <w:t xml:space="preserve"> </w:t>
      </w:r>
      <w:r>
        <w:t>asset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increased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 w:rsidR="002C48A0">
        <w:t>5.5</w:t>
      </w:r>
      <w:r>
        <w:t>%</w:t>
      </w:r>
      <w:r>
        <w:rPr>
          <w:spacing w:val="-2"/>
        </w:rPr>
        <w:t xml:space="preserve"> </w:t>
      </w:r>
      <w:r>
        <w:t>from 202</w:t>
      </w:r>
      <w:r w:rsidR="002C48A0">
        <w:t>3</w:t>
      </w:r>
      <w:r>
        <w:rPr>
          <w:spacing w:val="-1"/>
        </w:rPr>
        <w:t xml:space="preserve"> </w:t>
      </w:r>
      <w:r>
        <w:t>$3</w:t>
      </w:r>
      <w:r w:rsidR="002C48A0">
        <w:t>,984,714,971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 w:rsidR="002C48A0">
        <w:rPr>
          <w:spacing w:val="-1"/>
        </w:rPr>
        <w:t xml:space="preserve">settle at </w:t>
      </w:r>
      <w:r>
        <w:t>$4</w:t>
      </w:r>
      <w:r w:rsidR="002C48A0">
        <w:t>,204,122,029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2"/>
        </w:rPr>
        <w:t>202</w:t>
      </w:r>
      <w:r w:rsidR="002C48A0">
        <w:rPr>
          <w:spacing w:val="-2"/>
        </w:rPr>
        <w:t>4</w:t>
      </w:r>
      <w:r>
        <w:rPr>
          <w:spacing w:val="-2"/>
        </w:rPr>
        <w:t>.</w:t>
      </w:r>
      <w:r>
        <w:rPr>
          <w:spacing w:val="-12"/>
        </w:rPr>
        <w:t xml:space="preserve"> </w:t>
      </w:r>
      <w:r>
        <w:rPr>
          <w:spacing w:val="-2"/>
        </w:rPr>
        <w:t>This</w:t>
      </w:r>
      <w:r>
        <w:rPr>
          <w:spacing w:val="-9"/>
        </w:rPr>
        <w:t xml:space="preserve"> </w:t>
      </w:r>
      <w:r>
        <w:rPr>
          <w:spacing w:val="-2"/>
        </w:rPr>
        <w:t>is</w:t>
      </w:r>
      <w:r>
        <w:rPr>
          <w:spacing w:val="-12"/>
        </w:rPr>
        <w:t xml:space="preserve"> </w:t>
      </w:r>
      <w:r>
        <w:rPr>
          <w:spacing w:val="-2"/>
        </w:rPr>
        <w:t>mainly</w:t>
      </w:r>
      <w:r>
        <w:rPr>
          <w:spacing w:val="-12"/>
        </w:rPr>
        <w:t xml:space="preserve"> </w:t>
      </w:r>
      <w:r>
        <w:rPr>
          <w:spacing w:val="-2"/>
        </w:rPr>
        <w:t>due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positive</w:t>
      </w:r>
      <w:r>
        <w:rPr>
          <w:spacing w:val="-8"/>
        </w:rPr>
        <w:t xml:space="preserve"> </w:t>
      </w:r>
      <w:r>
        <w:rPr>
          <w:spacing w:val="-2"/>
        </w:rPr>
        <w:t>investment</w:t>
      </w:r>
      <w:r>
        <w:rPr>
          <w:spacing w:val="-8"/>
        </w:rPr>
        <w:t xml:space="preserve"> </w:t>
      </w:r>
      <w:r>
        <w:rPr>
          <w:spacing w:val="-2"/>
        </w:rPr>
        <w:t>performance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Fund</w:t>
      </w:r>
      <w:r w:rsidR="002C48A0">
        <w:rPr>
          <w:spacing w:val="-2"/>
        </w:rPr>
        <w:t>,</w:t>
      </w:r>
      <w:r>
        <w:rPr>
          <w:spacing w:val="-8"/>
        </w:rPr>
        <w:t xml:space="preserve"> </w:t>
      </w:r>
      <w:r>
        <w:t xml:space="preserve">annual revaluation surplus </w:t>
      </w:r>
      <w:r w:rsidR="002C48A0">
        <w:t>from property investments and increased investments in government securities.</w:t>
      </w:r>
    </w:p>
    <w:p w:rsidR="00D17701" w:rsidRDefault="00D17701" w:rsidP="00D17701">
      <w:pPr>
        <w:pStyle w:val="BodyText"/>
        <w:spacing w:line="360" w:lineRule="auto"/>
        <w:ind w:right="116"/>
      </w:pPr>
    </w:p>
    <w:p w:rsidR="00F03DF9" w:rsidRPr="00D17701" w:rsidRDefault="00934F9B" w:rsidP="00D17701">
      <w:pPr>
        <w:pStyle w:val="BodyText"/>
        <w:spacing w:line="360" w:lineRule="auto"/>
        <w:ind w:right="116"/>
        <w:rPr>
          <w:b/>
        </w:rPr>
      </w:pPr>
      <w:r w:rsidRPr="00D17701">
        <w:rPr>
          <w:b/>
        </w:rPr>
        <w:t>I:</w:t>
      </w:r>
      <w:r w:rsidRPr="00D17701">
        <w:rPr>
          <w:b/>
          <w:spacing w:val="-4"/>
        </w:rPr>
        <w:t xml:space="preserve"> </w:t>
      </w:r>
      <w:r w:rsidRPr="00D17701">
        <w:rPr>
          <w:b/>
        </w:rPr>
        <w:t>Implementation</w:t>
      </w:r>
      <w:r w:rsidRPr="00D17701">
        <w:rPr>
          <w:b/>
          <w:spacing w:val="-3"/>
        </w:rPr>
        <w:t xml:space="preserve"> </w:t>
      </w:r>
      <w:r w:rsidRPr="00D17701">
        <w:rPr>
          <w:b/>
        </w:rPr>
        <w:t>of</w:t>
      </w:r>
      <w:r w:rsidRPr="00D17701">
        <w:rPr>
          <w:b/>
          <w:spacing w:val="-5"/>
        </w:rPr>
        <w:t xml:space="preserve"> </w:t>
      </w:r>
      <w:r w:rsidRPr="00D17701">
        <w:rPr>
          <w:b/>
        </w:rPr>
        <w:t>existing</w:t>
      </w:r>
      <w:r w:rsidRPr="00D17701">
        <w:rPr>
          <w:b/>
          <w:spacing w:val="-6"/>
        </w:rPr>
        <w:t xml:space="preserve"> </w:t>
      </w:r>
      <w:r w:rsidRPr="00D17701">
        <w:rPr>
          <w:b/>
        </w:rPr>
        <w:t>and</w:t>
      </w:r>
      <w:r w:rsidRPr="00D17701">
        <w:rPr>
          <w:b/>
          <w:spacing w:val="-3"/>
        </w:rPr>
        <w:t xml:space="preserve"> </w:t>
      </w:r>
      <w:r w:rsidRPr="00D17701">
        <w:rPr>
          <w:b/>
        </w:rPr>
        <w:t>approved</w:t>
      </w:r>
      <w:r w:rsidRPr="00D17701">
        <w:rPr>
          <w:b/>
          <w:spacing w:val="-3"/>
        </w:rPr>
        <w:t xml:space="preserve"> </w:t>
      </w:r>
      <w:r w:rsidRPr="00D17701">
        <w:rPr>
          <w:b/>
        </w:rPr>
        <w:t>projects</w:t>
      </w:r>
      <w:r w:rsidRPr="00D17701">
        <w:rPr>
          <w:b/>
          <w:spacing w:val="-2"/>
        </w:rPr>
        <w:t xml:space="preserve"> </w:t>
      </w:r>
      <w:r w:rsidRPr="00D17701">
        <w:rPr>
          <w:b/>
        </w:rPr>
        <w:t>and</w:t>
      </w:r>
      <w:r w:rsidRPr="00D17701">
        <w:rPr>
          <w:b/>
          <w:spacing w:val="-3"/>
        </w:rPr>
        <w:t xml:space="preserve"> </w:t>
      </w:r>
      <w:r w:rsidRPr="00D17701">
        <w:rPr>
          <w:b/>
        </w:rPr>
        <w:t>disposal</w:t>
      </w:r>
      <w:r w:rsidRPr="00D17701">
        <w:rPr>
          <w:b/>
          <w:spacing w:val="-3"/>
        </w:rPr>
        <w:t xml:space="preserve"> </w:t>
      </w:r>
      <w:r w:rsidRPr="00D17701">
        <w:rPr>
          <w:b/>
        </w:rPr>
        <w:t>of</w:t>
      </w:r>
      <w:r w:rsidRPr="00D17701">
        <w:rPr>
          <w:b/>
          <w:spacing w:val="-3"/>
        </w:rPr>
        <w:t xml:space="preserve"> </w:t>
      </w:r>
      <w:r w:rsidRPr="00D17701">
        <w:rPr>
          <w:b/>
          <w:spacing w:val="-2"/>
        </w:rPr>
        <w:t>assets</w:t>
      </w:r>
    </w:p>
    <w:p w:rsidR="00F03DF9" w:rsidRDefault="002C48A0" w:rsidP="000B4990">
      <w:pPr>
        <w:pStyle w:val="BodyText"/>
        <w:spacing w:line="360" w:lineRule="auto"/>
        <w:ind w:right="115" w:firstLine="403"/>
      </w:pPr>
      <w:r>
        <w:t>Implement</w:t>
      </w:r>
      <w:r w:rsidR="00A044CC">
        <w:t>a</w:t>
      </w:r>
      <w:r>
        <w:t>tion</w:t>
      </w:r>
      <w:r w:rsidR="00934F9B">
        <w:rPr>
          <w:spacing w:val="-10"/>
        </w:rPr>
        <w:t xml:space="preserve"> </w:t>
      </w:r>
      <w:r w:rsidR="00934F9B">
        <w:t>of</w:t>
      </w:r>
      <w:r w:rsidR="00934F9B">
        <w:rPr>
          <w:spacing w:val="-8"/>
        </w:rPr>
        <w:t xml:space="preserve"> </w:t>
      </w:r>
      <w:r w:rsidR="00934F9B">
        <w:t>the</w:t>
      </w:r>
      <w:r w:rsidR="00934F9B">
        <w:rPr>
          <w:spacing w:val="-10"/>
        </w:rPr>
        <w:t xml:space="preserve"> </w:t>
      </w:r>
      <w:r w:rsidR="00934F9B">
        <w:t>$116</w:t>
      </w:r>
      <w:r w:rsidR="00934F9B">
        <w:rPr>
          <w:spacing w:val="-10"/>
        </w:rPr>
        <w:t xml:space="preserve"> </w:t>
      </w:r>
      <w:r w:rsidR="00934F9B">
        <w:t>million</w:t>
      </w:r>
      <w:r w:rsidR="00934F9B">
        <w:rPr>
          <w:spacing w:val="-8"/>
        </w:rPr>
        <w:t xml:space="preserve"> </w:t>
      </w:r>
      <w:r w:rsidR="00934F9B">
        <w:t>DFAT</w:t>
      </w:r>
      <w:r w:rsidR="00934F9B">
        <w:rPr>
          <w:spacing w:val="-9"/>
        </w:rPr>
        <w:t xml:space="preserve"> </w:t>
      </w:r>
      <w:r w:rsidR="00934F9B">
        <w:t>town</w:t>
      </w:r>
      <w:r w:rsidR="00934F9B">
        <w:rPr>
          <w:spacing w:val="-8"/>
        </w:rPr>
        <w:t xml:space="preserve"> </w:t>
      </w:r>
      <w:r w:rsidR="00934F9B">
        <w:t>houses</w:t>
      </w:r>
      <w:r w:rsidR="00934F9B">
        <w:rPr>
          <w:spacing w:val="-11"/>
        </w:rPr>
        <w:t xml:space="preserve"> </w:t>
      </w:r>
      <w:r w:rsidR="00934F9B">
        <w:t>and</w:t>
      </w:r>
      <w:r w:rsidR="00934F9B">
        <w:rPr>
          <w:spacing w:val="-8"/>
        </w:rPr>
        <w:t xml:space="preserve"> </w:t>
      </w:r>
      <w:r w:rsidR="00934F9B">
        <w:t>the</w:t>
      </w:r>
      <w:r w:rsidR="00934F9B">
        <w:rPr>
          <w:spacing w:val="-10"/>
        </w:rPr>
        <w:t xml:space="preserve"> </w:t>
      </w:r>
      <w:r w:rsidR="00934F9B">
        <w:t>executive</w:t>
      </w:r>
      <w:r w:rsidR="00934F9B">
        <w:rPr>
          <w:spacing w:val="-8"/>
        </w:rPr>
        <w:t xml:space="preserve"> </w:t>
      </w:r>
      <w:r w:rsidR="00934F9B">
        <w:t>apartments expansion is in progress</w:t>
      </w:r>
      <w:r w:rsidR="00A044CC">
        <w:rPr>
          <w:spacing w:val="40"/>
        </w:rPr>
        <w:t xml:space="preserve"> </w:t>
      </w:r>
      <w:r w:rsidR="00B6029C">
        <w:rPr>
          <w:spacing w:val="40"/>
        </w:rPr>
        <w:t xml:space="preserve">with </w:t>
      </w:r>
      <w:r w:rsidR="00A044CC">
        <w:rPr>
          <w:spacing w:val="40"/>
        </w:rPr>
        <w:t>c</w:t>
      </w:r>
      <w:r w:rsidR="00934F9B">
        <w:t xml:space="preserve">ompletion expected </w:t>
      </w:r>
      <w:r w:rsidR="00A044CC">
        <w:t>in March 2025 for the DFAT town houses</w:t>
      </w:r>
      <w:r w:rsidR="00934F9B">
        <w:t>.</w:t>
      </w:r>
    </w:p>
    <w:p w:rsidR="00F03DF9" w:rsidRDefault="00934F9B" w:rsidP="000B4990">
      <w:pPr>
        <w:pStyle w:val="BodyText"/>
        <w:spacing w:line="360" w:lineRule="auto"/>
        <w:ind w:right="114" w:firstLine="333"/>
        <w:rPr>
          <w:spacing w:val="-1"/>
        </w:rPr>
      </w:pPr>
      <w:r>
        <w:t xml:space="preserve">The Board has commenced the implementation of </w:t>
      </w:r>
      <w:r w:rsidR="00A044CC">
        <w:t xml:space="preserve">constructing </w:t>
      </w:r>
      <w:r w:rsidR="00AE5ED9">
        <w:t>its</w:t>
      </w:r>
      <w:r>
        <w:t xml:space="preserve"> new 4 level commercial</w:t>
      </w:r>
      <w:r>
        <w:rPr>
          <w:spacing w:val="-17"/>
        </w:rPr>
        <w:t xml:space="preserve"> </w:t>
      </w:r>
      <w:r>
        <w:t>building</w:t>
      </w:r>
      <w:r>
        <w:rPr>
          <w:spacing w:val="-17"/>
        </w:rPr>
        <w:t xml:space="preserve"> </w:t>
      </w:r>
      <w:r>
        <w:t>at</w:t>
      </w:r>
      <w:r>
        <w:rPr>
          <w:spacing w:val="-16"/>
        </w:rPr>
        <w:t xml:space="preserve"> </w:t>
      </w:r>
      <w:r>
        <w:t>its</w:t>
      </w:r>
      <w:r>
        <w:rPr>
          <w:spacing w:val="-15"/>
        </w:rPr>
        <w:t xml:space="preserve"> </w:t>
      </w:r>
      <w:r>
        <w:t>ex-Home</w:t>
      </w:r>
      <w:r>
        <w:rPr>
          <w:spacing w:val="-14"/>
        </w:rPr>
        <w:t xml:space="preserve"> </w:t>
      </w:r>
      <w:r>
        <w:t>Finance</w:t>
      </w:r>
      <w:r>
        <w:rPr>
          <w:spacing w:val="-16"/>
        </w:rPr>
        <w:t xml:space="preserve"> </w:t>
      </w:r>
      <w:r>
        <w:t>property</w:t>
      </w:r>
      <w:r>
        <w:rPr>
          <w:spacing w:val="-17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Hibiscus</w:t>
      </w:r>
      <w:r>
        <w:rPr>
          <w:spacing w:val="-17"/>
        </w:rPr>
        <w:t xml:space="preserve"> </w:t>
      </w:r>
      <w:r>
        <w:t>Avenue</w:t>
      </w:r>
      <w:r>
        <w:rPr>
          <w:spacing w:val="-15"/>
        </w:rPr>
        <w:t xml:space="preserve"> </w:t>
      </w:r>
      <w:r>
        <w:t>adjacent to the</w:t>
      </w:r>
      <w:r>
        <w:rPr>
          <w:spacing w:val="-1"/>
        </w:rPr>
        <w:t xml:space="preserve"> </w:t>
      </w:r>
      <w:proofErr w:type="spellStart"/>
      <w:r>
        <w:t>Qoloni</w:t>
      </w:r>
      <w:proofErr w:type="spellEnd"/>
      <w:r>
        <w:rPr>
          <w:spacing w:val="-2"/>
        </w:rPr>
        <w:t xml:space="preserve"> </w:t>
      </w:r>
      <w:r>
        <w:t>building.</w:t>
      </w:r>
      <w:r>
        <w:rPr>
          <w:spacing w:val="-1"/>
        </w:rPr>
        <w:t xml:space="preserve"> </w:t>
      </w:r>
    </w:p>
    <w:p w:rsidR="00AE5ED9" w:rsidRDefault="00DE12A0" w:rsidP="000B4990">
      <w:pPr>
        <w:pStyle w:val="BodyText"/>
        <w:spacing w:line="360" w:lineRule="auto"/>
        <w:ind w:right="114" w:firstLine="333"/>
      </w:pPr>
      <w:r>
        <w:t>Potential new</w:t>
      </w:r>
      <w:r w:rsidR="00AE5ED9">
        <w:t xml:space="preserve"> property investments </w:t>
      </w:r>
      <w:r>
        <w:t>are currently being assessed for approval by the Minister of Finance and Treasury.</w:t>
      </w:r>
    </w:p>
    <w:p w:rsidR="00F03DF9" w:rsidRDefault="00F03DF9" w:rsidP="000B4990">
      <w:pPr>
        <w:spacing w:line="360" w:lineRule="auto"/>
      </w:pPr>
    </w:p>
    <w:p w:rsidR="00F03DF9" w:rsidRDefault="00934F9B" w:rsidP="00A044CC">
      <w:pPr>
        <w:pStyle w:val="Heading1"/>
        <w:spacing w:line="360" w:lineRule="auto"/>
        <w:ind w:left="0"/>
      </w:pPr>
      <w:r>
        <w:t>J:</w:t>
      </w:r>
      <w:r>
        <w:rPr>
          <w:spacing w:val="-1"/>
        </w:rPr>
        <w:t xml:space="preserve"> </w:t>
      </w:r>
      <w:r>
        <w:rPr>
          <w:spacing w:val="-2"/>
        </w:rPr>
        <w:t>Outlook</w:t>
      </w:r>
    </w:p>
    <w:p w:rsidR="00F03DF9" w:rsidRDefault="00934F9B" w:rsidP="000B4990">
      <w:pPr>
        <w:pStyle w:val="BodyText"/>
        <w:spacing w:line="360" w:lineRule="auto"/>
        <w:ind w:left="119" w:right="112" w:firstLine="333"/>
      </w:pPr>
      <w:r>
        <w:t xml:space="preserve">The Solomon Islands economy </w:t>
      </w:r>
      <w:r w:rsidR="00A044CC">
        <w:t xml:space="preserve">has recovered and growing and there is strong commitment from our government </w:t>
      </w:r>
      <w:r w:rsidR="00462021">
        <w:t>to</w:t>
      </w:r>
      <w:r w:rsidR="00577F5E">
        <w:t xml:space="preserve"> build on and grow our economy further.</w:t>
      </w:r>
      <w:r w:rsidR="00462021">
        <w:t xml:space="preserve"> </w:t>
      </w:r>
    </w:p>
    <w:p w:rsidR="00F03DF9" w:rsidRDefault="004A43E0" w:rsidP="000B4990">
      <w:pPr>
        <w:pStyle w:val="BodyText"/>
        <w:spacing w:line="360" w:lineRule="auto"/>
        <w:ind w:right="113" w:firstLine="328"/>
      </w:pPr>
      <w:r>
        <w:t>In the early half of our 20</w:t>
      </w:r>
      <w:r w:rsidR="00934F9B">
        <w:t>2</w:t>
      </w:r>
      <w:r>
        <w:t xml:space="preserve">3/2024 financial year, </w:t>
      </w:r>
      <w:r w:rsidR="00934F9B">
        <w:t xml:space="preserve">the Solomon Islands Sovereign Credit Risk Rating has </w:t>
      </w:r>
      <w:proofErr w:type="gramStart"/>
      <w:r w:rsidR="00934F9B">
        <w:t>improved</w:t>
      </w:r>
      <w:proofErr w:type="gramEnd"/>
      <w:r w:rsidR="00934F9B">
        <w:t xml:space="preserve"> and this will have a positive impact on the fair value revaluations of our unlisted domestic equities and other financial reporting standards that use the government rating as one of the reporting basis.</w:t>
      </w:r>
    </w:p>
    <w:p w:rsidR="00F03DF9" w:rsidRDefault="00934F9B" w:rsidP="00D17701">
      <w:pPr>
        <w:pStyle w:val="BodyText"/>
        <w:spacing w:line="360" w:lineRule="auto"/>
        <w:ind w:right="115" w:firstLine="336"/>
      </w:pPr>
      <w:r>
        <w:t>Downside</w:t>
      </w:r>
      <w:r>
        <w:rPr>
          <w:spacing w:val="-2"/>
        </w:rPr>
        <w:t xml:space="preserve"> </w:t>
      </w:r>
      <w:r>
        <w:t>risks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global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economy</w:t>
      </w:r>
      <w:r>
        <w:rPr>
          <w:spacing w:val="-5"/>
        </w:rPr>
        <w:t xml:space="preserve"> </w:t>
      </w:r>
      <w:r>
        <w:t>remains</w:t>
      </w:r>
      <w:r>
        <w:rPr>
          <w:spacing w:val="-3"/>
        </w:rPr>
        <w:t xml:space="preserve"> </w:t>
      </w:r>
      <w:r>
        <w:t>volatile with</w:t>
      </w:r>
      <w:r>
        <w:rPr>
          <w:spacing w:val="-2"/>
        </w:rPr>
        <w:t xml:space="preserve"> </w:t>
      </w:r>
      <w:r>
        <w:t xml:space="preserve">the Board’s strategic efforts and plans aimed at mitigating their impacts on the Fund’s </w:t>
      </w:r>
      <w:r>
        <w:rPr>
          <w:spacing w:val="-2"/>
        </w:rPr>
        <w:lastRenderedPageBreak/>
        <w:t>performance</w:t>
      </w:r>
      <w:r w:rsidR="00DE12A0">
        <w:rPr>
          <w:spacing w:val="-2"/>
        </w:rPr>
        <w:t xml:space="preserve"> and ability to continue </w:t>
      </w:r>
      <w:r w:rsidR="00ED7228">
        <w:rPr>
          <w:spacing w:val="-2"/>
        </w:rPr>
        <w:t xml:space="preserve">to deliver </w:t>
      </w:r>
      <w:r w:rsidR="00DE12A0">
        <w:rPr>
          <w:spacing w:val="-2"/>
        </w:rPr>
        <w:t>above inflation credit</w:t>
      </w:r>
      <w:r w:rsidR="00ED7228">
        <w:rPr>
          <w:spacing w:val="-2"/>
        </w:rPr>
        <w:t>ing</w:t>
      </w:r>
      <w:r w:rsidR="00DE12A0">
        <w:rPr>
          <w:spacing w:val="-2"/>
        </w:rPr>
        <w:t xml:space="preserve"> rates to its members.</w:t>
      </w:r>
    </w:p>
    <w:p w:rsidR="00D17701" w:rsidRDefault="00D17701" w:rsidP="00D17701">
      <w:pPr>
        <w:pStyle w:val="BodyText"/>
        <w:spacing w:line="360" w:lineRule="auto"/>
        <w:ind w:right="115" w:firstLine="336"/>
      </w:pPr>
    </w:p>
    <w:p w:rsidR="00F03DF9" w:rsidRDefault="00934F9B" w:rsidP="000B4990">
      <w:pPr>
        <w:pStyle w:val="Heading1"/>
        <w:spacing w:line="360" w:lineRule="auto"/>
        <w:jc w:val="left"/>
      </w:pPr>
      <w:r>
        <w:t>K:</w:t>
      </w:r>
      <w:r>
        <w:rPr>
          <w:spacing w:val="3"/>
        </w:rPr>
        <w:t xml:space="preserve"> </w:t>
      </w:r>
      <w:r>
        <w:rPr>
          <w:spacing w:val="-2"/>
        </w:rPr>
        <w:t>Acknowledgement</w:t>
      </w:r>
    </w:p>
    <w:p w:rsidR="00F03DF9" w:rsidRDefault="00D17701" w:rsidP="000B4990">
      <w:pPr>
        <w:pStyle w:val="BodyText"/>
        <w:spacing w:line="360" w:lineRule="auto"/>
        <w:ind w:left="119"/>
        <w:jc w:val="left"/>
      </w:pPr>
      <w:r>
        <w:t xml:space="preserve">     </w:t>
      </w:r>
      <w:r w:rsidR="00934F9B">
        <w:t>In</w:t>
      </w:r>
      <w:r w:rsidR="00934F9B">
        <w:rPr>
          <w:spacing w:val="69"/>
        </w:rPr>
        <w:t xml:space="preserve"> </w:t>
      </w:r>
      <w:r w:rsidR="00934F9B">
        <w:t>closing,</w:t>
      </w:r>
      <w:r w:rsidR="00934F9B">
        <w:rPr>
          <w:spacing w:val="66"/>
        </w:rPr>
        <w:t xml:space="preserve"> </w:t>
      </w:r>
      <w:r w:rsidR="00934F9B">
        <w:t>on</w:t>
      </w:r>
      <w:r w:rsidR="00934F9B">
        <w:rPr>
          <w:spacing w:val="67"/>
        </w:rPr>
        <w:t xml:space="preserve"> </w:t>
      </w:r>
      <w:r w:rsidR="00934F9B">
        <w:t>behalf</w:t>
      </w:r>
      <w:r w:rsidR="00934F9B">
        <w:rPr>
          <w:spacing w:val="69"/>
        </w:rPr>
        <w:t xml:space="preserve"> </w:t>
      </w:r>
      <w:r w:rsidR="00934F9B">
        <w:t>of</w:t>
      </w:r>
      <w:r w:rsidR="00934F9B">
        <w:rPr>
          <w:spacing w:val="69"/>
        </w:rPr>
        <w:t xml:space="preserve"> </w:t>
      </w:r>
      <w:r w:rsidR="00934F9B">
        <w:t>the</w:t>
      </w:r>
      <w:r w:rsidR="00934F9B">
        <w:rPr>
          <w:spacing w:val="69"/>
        </w:rPr>
        <w:t xml:space="preserve"> </w:t>
      </w:r>
      <w:r w:rsidR="00934F9B">
        <w:t>Board</w:t>
      </w:r>
      <w:r w:rsidR="00934F9B">
        <w:rPr>
          <w:spacing w:val="67"/>
        </w:rPr>
        <w:t xml:space="preserve"> </w:t>
      </w:r>
      <w:r w:rsidR="00934F9B">
        <w:t>would</w:t>
      </w:r>
      <w:r w:rsidR="00934F9B">
        <w:rPr>
          <w:spacing w:val="69"/>
        </w:rPr>
        <w:t xml:space="preserve"> </w:t>
      </w:r>
      <w:r w:rsidR="00934F9B">
        <w:t>like</w:t>
      </w:r>
      <w:r w:rsidR="00934F9B">
        <w:rPr>
          <w:spacing w:val="69"/>
        </w:rPr>
        <w:t xml:space="preserve"> </w:t>
      </w:r>
      <w:r w:rsidR="00934F9B">
        <w:t>to</w:t>
      </w:r>
      <w:r w:rsidR="00934F9B">
        <w:rPr>
          <w:spacing w:val="69"/>
        </w:rPr>
        <w:t xml:space="preserve"> </w:t>
      </w:r>
      <w:r w:rsidR="00934F9B">
        <w:t>acknowledge</w:t>
      </w:r>
      <w:r w:rsidR="00934F9B">
        <w:rPr>
          <w:spacing w:val="69"/>
        </w:rPr>
        <w:t xml:space="preserve"> </w:t>
      </w:r>
      <w:r w:rsidR="00934F9B">
        <w:t>the</w:t>
      </w:r>
      <w:r w:rsidR="00934F9B">
        <w:rPr>
          <w:spacing w:val="67"/>
        </w:rPr>
        <w:t xml:space="preserve"> </w:t>
      </w:r>
      <w:r w:rsidR="00934F9B">
        <w:t>support</w:t>
      </w:r>
      <w:r w:rsidR="00934F9B">
        <w:rPr>
          <w:spacing w:val="66"/>
        </w:rPr>
        <w:t xml:space="preserve"> </w:t>
      </w:r>
      <w:r w:rsidR="00934F9B">
        <w:t>and cooperation from the following;</w:t>
      </w:r>
    </w:p>
    <w:p w:rsidR="00F03DF9" w:rsidRDefault="00934F9B" w:rsidP="000B4990">
      <w:pPr>
        <w:pStyle w:val="ListParagraph"/>
        <w:numPr>
          <w:ilvl w:val="0"/>
          <w:numId w:val="1"/>
        </w:numPr>
        <w:tabs>
          <w:tab w:val="left" w:pos="838"/>
          <w:tab w:val="left" w:pos="840"/>
        </w:tabs>
        <w:spacing w:line="360" w:lineRule="auto"/>
        <w:ind w:right="118"/>
        <w:rPr>
          <w:sz w:val="24"/>
        </w:rPr>
      </w:pP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Minister,</w:t>
      </w:r>
      <w:r>
        <w:rPr>
          <w:spacing w:val="40"/>
          <w:sz w:val="24"/>
        </w:rPr>
        <w:t xml:space="preserve"> </w:t>
      </w:r>
      <w:r>
        <w:rPr>
          <w:sz w:val="24"/>
        </w:rPr>
        <w:t>Permanent</w:t>
      </w:r>
      <w:r>
        <w:rPr>
          <w:spacing w:val="40"/>
          <w:sz w:val="24"/>
        </w:rPr>
        <w:t xml:space="preserve"> </w:t>
      </w:r>
      <w:r>
        <w:rPr>
          <w:sz w:val="24"/>
        </w:rPr>
        <w:t>Secretary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senior</w:t>
      </w:r>
      <w:r>
        <w:rPr>
          <w:spacing w:val="40"/>
          <w:sz w:val="24"/>
        </w:rPr>
        <w:t xml:space="preserve"> </w:t>
      </w:r>
      <w:r>
        <w:rPr>
          <w:sz w:val="24"/>
        </w:rPr>
        <w:t>officials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Ministry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80"/>
          <w:sz w:val="24"/>
        </w:rPr>
        <w:t xml:space="preserve"> </w:t>
      </w:r>
      <w:r>
        <w:rPr>
          <w:sz w:val="24"/>
        </w:rPr>
        <w:t>Finance and Treasury</w:t>
      </w:r>
    </w:p>
    <w:p w:rsidR="00F03DF9" w:rsidRDefault="00934F9B" w:rsidP="000B4990">
      <w:pPr>
        <w:pStyle w:val="ListParagraph"/>
        <w:numPr>
          <w:ilvl w:val="0"/>
          <w:numId w:val="1"/>
        </w:numPr>
        <w:tabs>
          <w:tab w:val="left" w:pos="838"/>
          <w:tab w:val="left" w:pos="840"/>
        </w:tabs>
        <w:spacing w:line="360" w:lineRule="auto"/>
        <w:ind w:right="114"/>
        <w:rPr>
          <w:sz w:val="24"/>
        </w:rPr>
      </w:pP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Governor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senior</w:t>
      </w:r>
      <w:r>
        <w:rPr>
          <w:spacing w:val="40"/>
          <w:sz w:val="24"/>
        </w:rPr>
        <w:t xml:space="preserve"> </w:t>
      </w:r>
      <w:r>
        <w:rPr>
          <w:sz w:val="24"/>
        </w:rPr>
        <w:t>officials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Central</w:t>
      </w:r>
      <w:r>
        <w:rPr>
          <w:spacing w:val="40"/>
          <w:sz w:val="24"/>
        </w:rPr>
        <w:t xml:space="preserve"> </w:t>
      </w:r>
      <w:r>
        <w:rPr>
          <w:sz w:val="24"/>
        </w:rPr>
        <w:t>Bank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z w:val="24"/>
        </w:rPr>
        <w:t>Solomon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Islands </w:t>
      </w:r>
      <w:r>
        <w:rPr>
          <w:spacing w:val="-2"/>
          <w:sz w:val="24"/>
        </w:rPr>
        <w:t>(CBSI)</w:t>
      </w:r>
    </w:p>
    <w:p w:rsidR="00F03DF9" w:rsidRDefault="00934F9B" w:rsidP="000B4990">
      <w:pPr>
        <w:pStyle w:val="ListParagraph"/>
        <w:numPr>
          <w:ilvl w:val="0"/>
          <w:numId w:val="1"/>
        </w:numPr>
        <w:tabs>
          <w:tab w:val="left" w:pos="838"/>
          <w:tab w:val="left" w:pos="840"/>
        </w:tabs>
        <w:spacing w:line="360" w:lineRule="auto"/>
        <w:ind w:right="115"/>
        <w:rPr>
          <w:sz w:val="24"/>
        </w:rPr>
      </w:pPr>
      <w:r>
        <w:rPr>
          <w:sz w:val="24"/>
        </w:rPr>
        <w:t xml:space="preserve">The Board and Senior officials of our investee companies (SPOL, STCL, Heritage Park Hotel Limited, Soltuna, Solomon Homes, BSP Financial Group, Loloata Island Resort, Solomon Submarine Cable Company, and Solomon </w:t>
      </w:r>
      <w:r>
        <w:rPr>
          <w:spacing w:val="-2"/>
          <w:sz w:val="24"/>
        </w:rPr>
        <w:t>Finance)</w:t>
      </w:r>
    </w:p>
    <w:p w:rsidR="00F03DF9" w:rsidRDefault="00934F9B" w:rsidP="000B4990">
      <w:pPr>
        <w:pStyle w:val="ListParagraph"/>
        <w:numPr>
          <w:ilvl w:val="0"/>
          <w:numId w:val="1"/>
        </w:numPr>
        <w:tabs>
          <w:tab w:val="left" w:pos="838"/>
        </w:tabs>
        <w:spacing w:line="360" w:lineRule="auto"/>
        <w:ind w:left="838" w:hanging="358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Auditor</w:t>
      </w:r>
      <w:r>
        <w:rPr>
          <w:spacing w:val="-3"/>
          <w:sz w:val="24"/>
        </w:rPr>
        <w:t xml:space="preserve"> </w:t>
      </w:r>
      <w:r>
        <w:rPr>
          <w:sz w:val="24"/>
        </w:rPr>
        <w:t>General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Senior</w:t>
      </w:r>
      <w:r>
        <w:rPr>
          <w:spacing w:val="-4"/>
          <w:sz w:val="24"/>
        </w:rPr>
        <w:t xml:space="preserve"> </w:t>
      </w:r>
      <w:r>
        <w:rPr>
          <w:sz w:val="24"/>
        </w:rPr>
        <w:t>Members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OAG</w:t>
      </w:r>
    </w:p>
    <w:p w:rsidR="00F03DF9" w:rsidRDefault="00934F9B" w:rsidP="000B4990">
      <w:pPr>
        <w:pStyle w:val="ListParagraph"/>
        <w:numPr>
          <w:ilvl w:val="0"/>
          <w:numId w:val="1"/>
        </w:numPr>
        <w:tabs>
          <w:tab w:val="left" w:pos="838"/>
        </w:tabs>
        <w:spacing w:line="360" w:lineRule="auto"/>
        <w:ind w:left="838" w:hanging="358"/>
        <w:rPr>
          <w:sz w:val="24"/>
        </w:rPr>
      </w:pPr>
      <w:r>
        <w:rPr>
          <w:sz w:val="24"/>
        </w:rPr>
        <w:t>Our</w:t>
      </w:r>
      <w:r>
        <w:rPr>
          <w:spacing w:val="-4"/>
          <w:sz w:val="24"/>
        </w:rPr>
        <w:t xml:space="preserve"> </w:t>
      </w:r>
      <w:r>
        <w:rPr>
          <w:sz w:val="24"/>
        </w:rPr>
        <w:t>contracted</w:t>
      </w:r>
      <w:r>
        <w:rPr>
          <w:spacing w:val="-2"/>
          <w:sz w:val="24"/>
        </w:rPr>
        <w:t xml:space="preserve"> </w:t>
      </w:r>
      <w:r>
        <w:rPr>
          <w:sz w:val="24"/>
        </w:rPr>
        <w:t>external</w:t>
      </w:r>
      <w:r>
        <w:rPr>
          <w:spacing w:val="-4"/>
          <w:sz w:val="24"/>
        </w:rPr>
        <w:t xml:space="preserve"> </w:t>
      </w:r>
      <w:r>
        <w:rPr>
          <w:sz w:val="24"/>
        </w:rPr>
        <w:t>Auditors</w:t>
      </w:r>
      <w:r>
        <w:rPr>
          <w:spacing w:val="-3"/>
          <w:sz w:val="24"/>
        </w:rPr>
        <w:t xml:space="preserve"> </w:t>
      </w:r>
      <w:r>
        <w:rPr>
          <w:sz w:val="24"/>
        </w:rPr>
        <w:t>Fiji</w:t>
      </w:r>
      <w:r>
        <w:rPr>
          <w:spacing w:val="-3"/>
          <w:sz w:val="24"/>
        </w:rPr>
        <w:t xml:space="preserve"> </w:t>
      </w:r>
      <w:r>
        <w:rPr>
          <w:sz w:val="24"/>
        </w:rPr>
        <w:t>based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PWC.</w:t>
      </w:r>
    </w:p>
    <w:p w:rsidR="00F03DF9" w:rsidRDefault="00934F9B" w:rsidP="000B4990">
      <w:pPr>
        <w:pStyle w:val="ListParagraph"/>
        <w:numPr>
          <w:ilvl w:val="0"/>
          <w:numId w:val="1"/>
        </w:numPr>
        <w:tabs>
          <w:tab w:val="left" w:pos="838"/>
        </w:tabs>
        <w:spacing w:line="360" w:lineRule="auto"/>
        <w:ind w:left="838" w:hanging="358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employers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associations</w:t>
      </w:r>
    </w:p>
    <w:p w:rsidR="00F03DF9" w:rsidRDefault="00934F9B" w:rsidP="000B4990">
      <w:pPr>
        <w:pStyle w:val="ListParagraph"/>
        <w:numPr>
          <w:ilvl w:val="0"/>
          <w:numId w:val="1"/>
        </w:numPr>
        <w:tabs>
          <w:tab w:val="left" w:pos="838"/>
        </w:tabs>
        <w:spacing w:line="360" w:lineRule="auto"/>
        <w:ind w:left="838" w:hanging="358"/>
        <w:rPr>
          <w:sz w:val="24"/>
        </w:rPr>
      </w:pP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employees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unions</w:t>
      </w:r>
    </w:p>
    <w:p w:rsidR="00F03DF9" w:rsidRDefault="00934F9B" w:rsidP="000B4990">
      <w:pPr>
        <w:pStyle w:val="ListParagraph"/>
        <w:numPr>
          <w:ilvl w:val="0"/>
          <w:numId w:val="1"/>
        </w:numPr>
        <w:tabs>
          <w:tab w:val="left" w:pos="838"/>
        </w:tabs>
        <w:spacing w:line="360" w:lineRule="auto"/>
        <w:ind w:left="838" w:hanging="358"/>
        <w:rPr>
          <w:sz w:val="24"/>
        </w:rPr>
      </w:pPr>
      <w:r>
        <w:rPr>
          <w:sz w:val="24"/>
        </w:rPr>
        <w:t>The IFC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6"/>
          <w:sz w:val="24"/>
        </w:rPr>
        <w:t xml:space="preserve"> </w:t>
      </w:r>
      <w:r>
        <w:rPr>
          <w:sz w:val="24"/>
        </w:rPr>
        <w:t>World Bank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Group</w:t>
      </w:r>
    </w:p>
    <w:p w:rsidR="00F03DF9" w:rsidRDefault="00934F9B" w:rsidP="000B4990">
      <w:pPr>
        <w:pStyle w:val="ListParagraph"/>
        <w:numPr>
          <w:ilvl w:val="0"/>
          <w:numId w:val="1"/>
        </w:numPr>
        <w:tabs>
          <w:tab w:val="left" w:pos="838"/>
        </w:tabs>
        <w:spacing w:line="360" w:lineRule="auto"/>
        <w:ind w:left="838" w:hanging="358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UNDCF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United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Nations</w:t>
      </w:r>
    </w:p>
    <w:p w:rsidR="00E21E07" w:rsidRDefault="00934F9B" w:rsidP="00E21E07">
      <w:pPr>
        <w:pStyle w:val="ListParagraph"/>
        <w:numPr>
          <w:ilvl w:val="0"/>
          <w:numId w:val="1"/>
        </w:numPr>
        <w:tabs>
          <w:tab w:val="left" w:pos="840"/>
          <w:tab w:val="left" w:pos="904"/>
        </w:tabs>
        <w:spacing w:line="360" w:lineRule="auto"/>
        <w:ind w:right="116"/>
        <w:rPr>
          <w:sz w:val="24"/>
        </w:rPr>
      </w:pPr>
      <w:r>
        <w:rPr>
          <w:sz w:val="24"/>
        </w:rPr>
        <w:tab/>
        <w:t>And</w:t>
      </w:r>
      <w:r>
        <w:rPr>
          <w:spacing w:val="75"/>
          <w:sz w:val="24"/>
        </w:rPr>
        <w:t xml:space="preserve"> </w:t>
      </w:r>
      <w:r>
        <w:rPr>
          <w:sz w:val="24"/>
        </w:rPr>
        <w:t>to</w:t>
      </w:r>
      <w:r>
        <w:rPr>
          <w:spacing w:val="75"/>
          <w:sz w:val="24"/>
        </w:rPr>
        <w:t xml:space="preserve"> </w:t>
      </w:r>
      <w:r>
        <w:rPr>
          <w:sz w:val="24"/>
        </w:rPr>
        <w:t>all</w:t>
      </w:r>
      <w:r>
        <w:rPr>
          <w:spacing w:val="74"/>
          <w:sz w:val="24"/>
        </w:rPr>
        <w:t xml:space="preserve"> </w:t>
      </w:r>
      <w:r>
        <w:rPr>
          <w:sz w:val="24"/>
        </w:rPr>
        <w:t>those</w:t>
      </w:r>
      <w:r>
        <w:rPr>
          <w:spacing w:val="77"/>
          <w:sz w:val="24"/>
        </w:rPr>
        <w:t xml:space="preserve"> </w:t>
      </w:r>
      <w:r>
        <w:rPr>
          <w:sz w:val="24"/>
        </w:rPr>
        <w:t>institutions</w:t>
      </w:r>
      <w:r>
        <w:rPr>
          <w:spacing w:val="74"/>
          <w:sz w:val="24"/>
        </w:rPr>
        <w:t xml:space="preserve"> </w:t>
      </w:r>
      <w:r>
        <w:rPr>
          <w:sz w:val="24"/>
        </w:rPr>
        <w:t>and</w:t>
      </w:r>
      <w:r>
        <w:rPr>
          <w:spacing w:val="75"/>
          <w:sz w:val="24"/>
        </w:rPr>
        <w:t xml:space="preserve"> </w:t>
      </w:r>
      <w:r>
        <w:rPr>
          <w:sz w:val="24"/>
        </w:rPr>
        <w:t>organizations’</w:t>
      </w:r>
      <w:r>
        <w:rPr>
          <w:spacing w:val="76"/>
          <w:sz w:val="24"/>
        </w:rPr>
        <w:t xml:space="preserve"> </w:t>
      </w:r>
      <w:r>
        <w:rPr>
          <w:sz w:val="24"/>
        </w:rPr>
        <w:t>that</w:t>
      </w:r>
      <w:r>
        <w:rPr>
          <w:spacing w:val="75"/>
          <w:sz w:val="24"/>
        </w:rPr>
        <w:t xml:space="preserve"> </w:t>
      </w:r>
      <w:r>
        <w:rPr>
          <w:sz w:val="24"/>
        </w:rPr>
        <w:t>we</w:t>
      </w:r>
      <w:r>
        <w:rPr>
          <w:spacing w:val="77"/>
          <w:sz w:val="24"/>
        </w:rPr>
        <w:t xml:space="preserve"> </w:t>
      </w:r>
      <w:r>
        <w:rPr>
          <w:sz w:val="24"/>
        </w:rPr>
        <w:t>have</w:t>
      </w:r>
      <w:r>
        <w:rPr>
          <w:spacing w:val="75"/>
          <w:sz w:val="24"/>
        </w:rPr>
        <w:t xml:space="preserve"> </w:t>
      </w:r>
      <w:r>
        <w:rPr>
          <w:sz w:val="24"/>
        </w:rPr>
        <w:t>missed</w:t>
      </w:r>
      <w:r>
        <w:rPr>
          <w:spacing w:val="75"/>
          <w:sz w:val="24"/>
        </w:rPr>
        <w:t xml:space="preserve"> </w:t>
      </w:r>
      <w:r>
        <w:rPr>
          <w:sz w:val="24"/>
        </w:rPr>
        <w:t>in mentioning above.</w:t>
      </w:r>
    </w:p>
    <w:p w:rsidR="009B642E" w:rsidRPr="009B642E" w:rsidRDefault="009B642E" w:rsidP="009B642E">
      <w:pPr>
        <w:pStyle w:val="ListParagraph"/>
        <w:tabs>
          <w:tab w:val="left" w:pos="840"/>
          <w:tab w:val="left" w:pos="904"/>
        </w:tabs>
        <w:spacing w:line="360" w:lineRule="auto"/>
        <w:ind w:left="840" w:right="116" w:firstLine="0"/>
        <w:rPr>
          <w:sz w:val="24"/>
        </w:rPr>
      </w:pPr>
    </w:p>
    <w:p w:rsidR="00F03DF9" w:rsidRDefault="00934F9B" w:rsidP="000B4990">
      <w:pPr>
        <w:pStyle w:val="BodyText"/>
        <w:spacing w:line="360" w:lineRule="auto"/>
        <w:ind w:left="453"/>
        <w:jc w:val="left"/>
      </w:pPr>
      <w:r>
        <w:t>Thank</w:t>
      </w:r>
      <w:r>
        <w:rPr>
          <w:spacing w:val="-2"/>
        </w:rPr>
        <w:t xml:space="preserve"> </w:t>
      </w:r>
      <w:r>
        <w:t>you so</w:t>
      </w:r>
      <w:r>
        <w:rPr>
          <w:spacing w:val="-3"/>
        </w:rPr>
        <w:t xml:space="preserve"> </w:t>
      </w:r>
      <w:r>
        <w:t>much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and your</w:t>
      </w:r>
      <w:r>
        <w:rPr>
          <w:spacing w:val="-2"/>
        </w:rPr>
        <w:t xml:space="preserve"> attention.</w:t>
      </w:r>
    </w:p>
    <w:p w:rsidR="00F03DF9" w:rsidRDefault="00F03DF9" w:rsidP="000B4990">
      <w:pPr>
        <w:pStyle w:val="BodyText"/>
        <w:spacing w:line="360" w:lineRule="auto"/>
        <w:ind w:left="0"/>
        <w:jc w:val="left"/>
      </w:pPr>
    </w:p>
    <w:p w:rsidR="00F03DF9" w:rsidRDefault="00934F9B" w:rsidP="000B4990">
      <w:pPr>
        <w:pStyle w:val="BodyText"/>
        <w:spacing w:line="360" w:lineRule="auto"/>
        <w:jc w:val="left"/>
      </w:pPr>
      <w:r>
        <w:t>God</w:t>
      </w:r>
      <w:r>
        <w:rPr>
          <w:spacing w:val="-4"/>
        </w:rPr>
        <w:t xml:space="preserve"> </w:t>
      </w:r>
      <w:r>
        <w:t>Bless</w:t>
      </w:r>
      <w:r>
        <w:rPr>
          <w:spacing w:val="-2"/>
        </w:rPr>
        <w:t xml:space="preserve"> </w:t>
      </w:r>
      <w:r>
        <w:t>SINPF,</w:t>
      </w:r>
      <w:r>
        <w:rPr>
          <w:spacing w:val="-2"/>
        </w:rPr>
        <w:t xml:space="preserve"> </w:t>
      </w:r>
      <w:r>
        <w:t>God</w:t>
      </w:r>
      <w:r>
        <w:rPr>
          <w:spacing w:val="-1"/>
        </w:rPr>
        <w:t xml:space="preserve"> </w:t>
      </w:r>
      <w:r>
        <w:t>Bless</w:t>
      </w:r>
      <w:r>
        <w:rPr>
          <w:spacing w:val="-4"/>
        </w:rPr>
        <w:t xml:space="preserve"> </w:t>
      </w:r>
      <w:r>
        <w:t>Solomon</w:t>
      </w:r>
      <w:r>
        <w:rPr>
          <w:spacing w:val="-2"/>
        </w:rPr>
        <w:t xml:space="preserve"> </w:t>
      </w:r>
      <w:r>
        <w:t>Islands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shore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shore.</w:t>
      </w:r>
    </w:p>
    <w:sectPr w:rsidR="00F03DF9">
      <w:pgSz w:w="11910" w:h="16840"/>
      <w:pgMar w:top="1340" w:right="1320" w:bottom="1200" w:left="132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38F" w:rsidRDefault="00E4138F">
      <w:r>
        <w:separator/>
      </w:r>
    </w:p>
  </w:endnote>
  <w:endnote w:type="continuationSeparator" w:id="0">
    <w:p w:rsidR="00E4138F" w:rsidRDefault="00E41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DF9" w:rsidRDefault="00934F9B">
    <w:pPr>
      <w:pStyle w:val="BodyText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800" behindDoc="1" locked="0" layoutInCell="1" allowOverlap="1">
              <wp:simplePos x="0" y="0"/>
              <wp:positionH relativeFrom="page">
                <wp:posOffset>3706367</wp:posOffset>
              </wp:positionH>
              <wp:positionV relativeFrom="page">
                <wp:posOffset>9916159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03DF9" w:rsidRDefault="00934F9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85pt;margin-top:780.8pt;width:12.6pt;height:13.0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GM/3/XhAAAADQEAAA8AAABkcnMvZG93bnJldi54bWxMj8FOwzAMhu9IvENkJG4s&#10;GWhtV5pOE4ITEqIrB45p47XRGqc02Vbenuw0jvb/6ffnYjPbgZ1w8saRhOVCAENqnTbUSfiq3x4y&#10;YD4o0mpwhBJ+0cOmvL0pVK7dmSo87ULHYgn5XEnoQxhzzn3bo1V+4UakmO3dZFWI49RxPalzLLcD&#10;fxQi4VYZihd6NeJLj+1hd7QStt9UvZqfj+az2lemrteC3pODlPd38/YZWMA5XGG46Ed1KKNT446k&#10;PRskrLKnNKIxWCXLBFhEEpGtgTWXVZamwMuC//+i/AMAAP//AwBQSwECLQAUAAYACAAAACEAtoM4&#10;kv4AAADhAQAAEwAAAAAAAAAAAAAAAAAAAAAAW0NvbnRlbnRfVHlwZXNdLnhtbFBLAQItABQABgAI&#10;AAAAIQA4/SH/1gAAAJQBAAALAAAAAAAAAAAAAAAAAC8BAABfcmVscy8ucmVsc1BLAQItABQABgAI&#10;AAAAIQAlCh+apAEAAD4DAAAOAAAAAAAAAAAAAAAAAC4CAABkcnMvZTJvRG9jLnhtbFBLAQItABQA&#10;BgAIAAAAIQBjP9/14QAAAA0BAAAPAAAAAAAAAAAAAAAAAP4DAABkcnMvZG93bnJldi54bWxQSwUG&#10;AAAAAAQABADzAAAADAUAAAAA&#10;" filled="f" stroked="f">
              <v:textbox inset="0,0,0,0">
                <w:txbxContent>
                  <w:p w:rsidR="00F03DF9" w:rsidRDefault="00934F9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38F" w:rsidRDefault="00E4138F">
      <w:r>
        <w:separator/>
      </w:r>
    </w:p>
  </w:footnote>
  <w:footnote w:type="continuationSeparator" w:id="0">
    <w:p w:rsidR="00E4138F" w:rsidRDefault="00E41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A07D6"/>
    <w:multiLevelType w:val="hybridMultilevel"/>
    <w:tmpl w:val="90A212F4"/>
    <w:lvl w:ilvl="0" w:tplc="69E61FAC">
      <w:start w:val="1"/>
      <w:numFmt w:val="decimal"/>
      <w:lvlText w:val="%1)"/>
      <w:lvlJc w:val="left"/>
      <w:pPr>
        <w:ind w:left="9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D0A0114">
      <w:numFmt w:val="bullet"/>
      <w:lvlText w:val="•"/>
      <w:lvlJc w:val="left"/>
      <w:pPr>
        <w:ind w:left="1790" w:hanging="360"/>
      </w:pPr>
      <w:rPr>
        <w:rFonts w:hint="default"/>
        <w:lang w:val="en-US" w:eastAsia="en-US" w:bidi="ar-SA"/>
      </w:rPr>
    </w:lvl>
    <w:lvl w:ilvl="2" w:tplc="ACF2615C">
      <w:numFmt w:val="bullet"/>
      <w:lvlText w:val="•"/>
      <w:lvlJc w:val="left"/>
      <w:pPr>
        <w:ind w:left="2621" w:hanging="360"/>
      </w:pPr>
      <w:rPr>
        <w:rFonts w:hint="default"/>
        <w:lang w:val="en-US" w:eastAsia="en-US" w:bidi="ar-SA"/>
      </w:rPr>
    </w:lvl>
    <w:lvl w:ilvl="3" w:tplc="7EA63248">
      <w:numFmt w:val="bullet"/>
      <w:lvlText w:val="•"/>
      <w:lvlJc w:val="left"/>
      <w:pPr>
        <w:ind w:left="3451" w:hanging="360"/>
      </w:pPr>
      <w:rPr>
        <w:rFonts w:hint="default"/>
        <w:lang w:val="en-US" w:eastAsia="en-US" w:bidi="ar-SA"/>
      </w:rPr>
    </w:lvl>
    <w:lvl w:ilvl="4" w:tplc="75909A4C">
      <w:numFmt w:val="bullet"/>
      <w:lvlText w:val="•"/>
      <w:lvlJc w:val="left"/>
      <w:pPr>
        <w:ind w:left="4282" w:hanging="360"/>
      </w:pPr>
      <w:rPr>
        <w:rFonts w:hint="default"/>
        <w:lang w:val="en-US" w:eastAsia="en-US" w:bidi="ar-SA"/>
      </w:rPr>
    </w:lvl>
    <w:lvl w:ilvl="5" w:tplc="CC7C6FC6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7CEE15F0">
      <w:numFmt w:val="bullet"/>
      <w:lvlText w:val="•"/>
      <w:lvlJc w:val="left"/>
      <w:pPr>
        <w:ind w:left="5943" w:hanging="360"/>
      </w:pPr>
      <w:rPr>
        <w:rFonts w:hint="default"/>
        <w:lang w:val="en-US" w:eastAsia="en-US" w:bidi="ar-SA"/>
      </w:rPr>
    </w:lvl>
    <w:lvl w:ilvl="7" w:tplc="05B0B366">
      <w:numFmt w:val="bullet"/>
      <w:lvlText w:val="•"/>
      <w:lvlJc w:val="left"/>
      <w:pPr>
        <w:ind w:left="6774" w:hanging="360"/>
      </w:pPr>
      <w:rPr>
        <w:rFonts w:hint="default"/>
        <w:lang w:val="en-US" w:eastAsia="en-US" w:bidi="ar-SA"/>
      </w:rPr>
    </w:lvl>
    <w:lvl w:ilvl="8" w:tplc="D1E4B030">
      <w:numFmt w:val="bullet"/>
      <w:lvlText w:val="•"/>
      <w:lvlJc w:val="left"/>
      <w:pPr>
        <w:ind w:left="760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20142B7"/>
    <w:multiLevelType w:val="hybridMultilevel"/>
    <w:tmpl w:val="6DD4DAB8"/>
    <w:lvl w:ilvl="0" w:tplc="20000013">
      <w:start w:val="1"/>
      <w:numFmt w:val="upperRoman"/>
      <w:lvlText w:val="%1."/>
      <w:lvlJc w:val="right"/>
      <w:pPr>
        <w:ind w:left="840" w:hanging="360"/>
      </w:pPr>
    </w:lvl>
    <w:lvl w:ilvl="1" w:tplc="20000019" w:tentative="1">
      <w:start w:val="1"/>
      <w:numFmt w:val="lowerLetter"/>
      <w:lvlText w:val="%2."/>
      <w:lvlJc w:val="left"/>
      <w:pPr>
        <w:ind w:left="1560" w:hanging="360"/>
      </w:pPr>
    </w:lvl>
    <w:lvl w:ilvl="2" w:tplc="2000001B" w:tentative="1">
      <w:start w:val="1"/>
      <w:numFmt w:val="lowerRoman"/>
      <w:lvlText w:val="%3."/>
      <w:lvlJc w:val="right"/>
      <w:pPr>
        <w:ind w:left="2280" w:hanging="180"/>
      </w:pPr>
    </w:lvl>
    <w:lvl w:ilvl="3" w:tplc="2000000F" w:tentative="1">
      <w:start w:val="1"/>
      <w:numFmt w:val="decimal"/>
      <w:lvlText w:val="%4."/>
      <w:lvlJc w:val="left"/>
      <w:pPr>
        <w:ind w:left="3000" w:hanging="360"/>
      </w:pPr>
    </w:lvl>
    <w:lvl w:ilvl="4" w:tplc="20000019" w:tentative="1">
      <w:start w:val="1"/>
      <w:numFmt w:val="lowerLetter"/>
      <w:lvlText w:val="%5."/>
      <w:lvlJc w:val="left"/>
      <w:pPr>
        <w:ind w:left="3720" w:hanging="360"/>
      </w:pPr>
    </w:lvl>
    <w:lvl w:ilvl="5" w:tplc="2000001B" w:tentative="1">
      <w:start w:val="1"/>
      <w:numFmt w:val="lowerRoman"/>
      <w:lvlText w:val="%6."/>
      <w:lvlJc w:val="right"/>
      <w:pPr>
        <w:ind w:left="4440" w:hanging="180"/>
      </w:pPr>
    </w:lvl>
    <w:lvl w:ilvl="6" w:tplc="2000000F" w:tentative="1">
      <w:start w:val="1"/>
      <w:numFmt w:val="decimal"/>
      <w:lvlText w:val="%7."/>
      <w:lvlJc w:val="left"/>
      <w:pPr>
        <w:ind w:left="5160" w:hanging="360"/>
      </w:pPr>
    </w:lvl>
    <w:lvl w:ilvl="7" w:tplc="20000019" w:tentative="1">
      <w:start w:val="1"/>
      <w:numFmt w:val="lowerLetter"/>
      <w:lvlText w:val="%8."/>
      <w:lvlJc w:val="left"/>
      <w:pPr>
        <w:ind w:left="5880" w:hanging="360"/>
      </w:pPr>
    </w:lvl>
    <w:lvl w:ilvl="8" w:tplc="200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57AF1D31"/>
    <w:multiLevelType w:val="hybridMultilevel"/>
    <w:tmpl w:val="4BD0D912"/>
    <w:lvl w:ilvl="0" w:tplc="3C7A7668">
      <w:start w:val="1"/>
      <w:numFmt w:val="decimal"/>
      <w:lvlText w:val="%1)"/>
      <w:lvlJc w:val="left"/>
      <w:pPr>
        <w:ind w:left="8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7186646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2" w:tplc="16807316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7E2CE610">
      <w:numFmt w:val="bullet"/>
      <w:lvlText w:val="•"/>
      <w:lvlJc w:val="left"/>
      <w:pPr>
        <w:ind w:left="3367" w:hanging="360"/>
      </w:pPr>
      <w:rPr>
        <w:rFonts w:hint="default"/>
        <w:lang w:val="en-US" w:eastAsia="en-US" w:bidi="ar-SA"/>
      </w:rPr>
    </w:lvl>
    <w:lvl w:ilvl="4" w:tplc="9B9087AE">
      <w:numFmt w:val="bullet"/>
      <w:lvlText w:val="•"/>
      <w:lvlJc w:val="left"/>
      <w:pPr>
        <w:ind w:left="4210" w:hanging="360"/>
      </w:pPr>
      <w:rPr>
        <w:rFonts w:hint="default"/>
        <w:lang w:val="en-US" w:eastAsia="en-US" w:bidi="ar-SA"/>
      </w:rPr>
    </w:lvl>
    <w:lvl w:ilvl="5" w:tplc="9D7402A4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6" w:tplc="990E291A">
      <w:numFmt w:val="bullet"/>
      <w:lvlText w:val="•"/>
      <w:lvlJc w:val="left"/>
      <w:pPr>
        <w:ind w:left="5895" w:hanging="360"/>
      </w:pPr>
      <w:rPr>
        <w:rFonts w:hint="default"/>
        <w:lang w:val="en-US" w:eastAsia="en-US" w:bidi="ar-SA"/>
      </w:rPr>
    </w:lvl>
    <w:lvl w:ilvl="7" w:tplc="5608055C">
      <w:numFmt w:val="bullet"/>
      <w:lvlText w:val="•"/>
      <w:lvlJc w:val="left"/>
      <w:pPr>
        <w:ind w:left="6738" w:hanging="360"/>
      </w:pPr>
      <w:rPr>
        <w:rFonts w:hint="default"/>
        <w:lang w:val="en-US" w:eastAsia="en-US" w:bidi="ar-SA"/>
      </w:rPr>
    </w:lvl>
    <w:lvl w:ilvl="8" w:tplc="025CCE54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DF9"/>
    <w:rsid w:val="0000463E"/>
    <w:rsid w:val="00027EAC"/>
    <w:rsid w:val="0004211C"/>
    <w:rsid w:val="0006728C"/>
    <w:rsid w:val="00075B49"/>
    <w:rsid w:val="00094C0A"/>
    <w:rsid w:val="000A6667"/>
    <w:rsid w:val="000B4990"/>
    <w:rsid w:val="000D0485"/>
    <w:rsid w:val="000D7EE1"/>
    <w:rsid w:val="000E38B4"/>
    <w:rsid w:val="00104F16"/>
    <w:rsid w:val="0012553E"/>
    <w:rsid w:val="00131914"/>
    <w:rsid w:val="001448A8"/>
    <w:rsid w:val="00173EC0"/>
    <w:rsid w:val="001752D6"/>
    <w:rsid w:val="001768DD"/>
    <w:rsid w:val="00183300"/>
    <w:rsid w:val="001920C6"/>
    <w:rsid w:val="00196421"/>
    <w:rsid w:val="001A39BF"/>
    <w:rsid w:val="001B5887"/>
    <w:rsid w:val="001C3245"/>
    <w:rsid w:val="001F3856"/>
    <w:rsid w:val="002164B5"/>
    <w:rsid w:val="00216517"/>
    <w:rsid w:val="00223D45"/>
    <w:rsid w:val="00231915"/>
    <w:rsid w:val="00280552"/>
    <w:rsid w:val="00293A58"/>
    <w:rsid w:val="002B3EFA"/>
    <w:rsid w:val="002C48A0"/>
    <w:rsid w:val="002F2E16"/>
    <w:rsid w:val="003635CB"/>
    <w:rsid w:val="003C2D15"/>
    <w:rsid w:val="003D42DA"/>
    <w:rsid w:val="003E3CBF"/>
    <w:rsid w:val="003F6E11"/>
    <w:rsid w:val="00413B13"/>
    <w:rsid w:val="00432CE8"/>
    <w:rsid w:val="00436D29"/>
    <w:rsid w:val="00446677"/>
    <w:rsid w:val="00462021"/>
    <w:rsid w:val="004A43E0"/>
    <w:rsid w:val="004B33AC"/>
    <w:rsid w:val="004D09D8"/>
    <w:rsid w:val="004D4EEF"/>
    <w:rsid w:val="004F3AFB"/>
    <w:rsid w:val="00514507"/>
    <w:rsid w:val="00515AFD"/>
    <w:rsid w:val="00521FB0"/>
    <w:rsid w:val="00577F5E"/>
    <w:rsid w:val="00585A22"/>
    <w:rsid w:val="005B651A"/>
    <w:rsid w:val="005D0464"/>
    <w:rsid w:val="00620705"/>
    <w:rsid w:val="006250C1"/>
    <w:rsid w:val="0063611F"/>
    <w:rsid w:val="00694AFA"/>
    <w:rsid w:val="006A2A41"/>
    <w:rsid w:val="006B2ECC"/>
    <w:rsid w:val="006E7618"/>
    <w:rsid w:val="006F5741"/>
    <w:rsid w:val="007245E4"/>
    <w:rsid w:val="00746E75"/>
    <w:rsid w:val="007831B3"/>
    <w:rsid w:val="008709E6"/>
    <w:rsid w:val="00876ED8"/>
    <w:rsid w:val="008A6AFE"/>
    <w:rsid w:val="008B14CB"/>
    <w:rsid w:val="008B3E4B"/>
    <w:rsid w:val="00904653"/>
    <w:rsid w:val="00913A3C"/>
    <w:rsid w:val="00934F9B"/>
    <w:rsid w:val="00973A9B"/>
    <w:rsid w:val="00986B66"/>
    <w:rsid w:val="00990E17"/>
    <w:rsid w:val="009A1799"/>
    <w:rsid w:val="009B642E"/>
    <w:rsid w:val="00A044CC"/>
    <w:rsid w:val="00A63DE4"/>
    <w:rsid w:val="00A74BEB"/>
    <w:rsid w:val="00AD3C03"/>
    <w:rsid w:val="00AE5ED9"/>
    <w:rsid w:val="00B03C13"/>
    <w:rsid w:val="00B243B5"/>
    <w:rsid w:val="00B243D5"/>
    <w:rsid w:val="00B325A6"/>
    <w:rsid w:val="00B576AC"/>
    <w:rsid w:val="00B6029C"/>
    <w:rsid w:val="00B92E01"/>
    <w:rsid w:val="00BB112A"/>
    <w:rsid w:val="00BF09EB"/>
    <w:rsid w:val="00C11AA7"/>
    <w:rsid w:val="00C54185"/>
    <w:rsid w:val="00C60619"/>
    <w:rsid w:val="00C630F8"/>
    <w:rsid w:val="00C71701"/>
    <w:rsid w:val="00C75DE9"/>
    <w:rsid w:val="00C80F5D"/>
    <w:rsid w:val="00CB1F9F"/>
    <w:rsid w:val="00CC4B63"/>
    <w:rsid w:val="00CC53C3"/>
    <w:rsid w:val="00CD0B52"/>
    <w:rsid w:val="00CF6FE7"/>
    <w:rsid w:val="00D0055E"/>
    <w:rsid w:val="00D02940"/>
    <w:rsid w:val="00D17701"/>
    <w:rsid w:val="00D405EF"/>
    <w:rsid w:val="00D57D8C"/>
    <w:rsid w:val="00D81DE6"/>
    <w:rsid w:val="00D86A48"/>
    <w:rsid w:val="00D922A3"/>
    <w:rsid w:val="00DD0A4B"/>
    <w:rsid w:val="00DE12A0"/>
    <w:rsid w:val="00E0201D"/>
    <w:rsid w:val="00E07731"/>
    <w:rsid w:val="00E21E07"/>
    <w:rsid w:val="00E2788A"/>
    <w:rsid w:val="00E4138F"/>
    <w:rsid w:val="00ED7228"/>
    <w:rsid w:val="00F03DF9"/>
    <w:rsid w:val="00F0513A"/>
    <w:rsid w:val="00F124C6"/>
    <w:rsid w:val="00F1596B"/>
    <w:rsid w:val="00F345A9"/>
    <w:rsid w:val="00F44D4A"/>
    <w:rsid w:val="00F5105D"/>
    <w:rsid w:val="00F81EC2"/>
    <w:rsid w:val="00F92DDE"/>
    <w:rsid w:val="00FA3D61"/>
    <w:rsid w:val="00FA56C2"/>
    <w:rsid w:val="00FC3484"/>
    <w:rsid w:val="00FD7BB2"/>
    <w:rsid w:val="00FE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CD76B7-67E5-4A81-AE83-577F3AF3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2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6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F81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F92DDE"/>
    <w:rPr>
      <w:rFonts w:ascii="Arial" w:eastAsia="Arial" w:hAnsi="Arial" w:cs="Arial"/>
      <w:sz w:val="24"/>
      <w:szCs w:val="24"/>
    </w:rPr>
  </w:style>
  <w:style w:type="paragraph" w:styleId="NoSpacing">
    <w:name w:val="No Spacing"/>
    <w:uiPriority w:val="1"/>
    <w:qFormat/>
    <w:rsid w:val="00F92DD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1628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Wate</dc:creator>
  <cp:lastModifiedBy>Elliot Dawea</cp:lastModifiedBy>
  <cp:revision>2</cp:revision>
  <dcterms:created xsi:type="dcterms:W3CDTF">2024-09-30T05:47:00Z</dcterms:created>
  <dcterms:modified xsi:type="dcterms:W3CDTF">2024-09-30T05:47:00Z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2024-09-26T00:00:00Z</vt:filetime>
  </property>
  <property fmtid="{D5CDD505-2E9C-101B-9397-08002B2CF9AE}" pid="5" name="Producer">
    <vt:lpwstr>Adobe PDF Library 23.8.53</vt:lpwstr>
  </property>
  <property fmtid="{D5CDD505-2E9C-101B-9397-08002B2CF9AE}" pid="6" name="SourceModified">
    <vt:lpwstr>D:20240324214556</vt:lpwstr>
  </property>
</Properties>
</file>